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4F" w:rsidRDefault="003D7D4F">
      <w:pPr>
        <w:pStyle w:val="1"/>
        <w:spacing w:beforeLines="50" w:before="156" w:afterLines="50" w:after="156" w:line="400" w:lineRule="atLeast"/>
        <w:ind w:left="357" w:firstLineChars="0" w:firstLine="0"/>
        <w:contextualSpacing/>
        <w:jc w:val="distribute"/>
        <w:rPr>
          <w:rFonts w:eastAsia="黑体"/>
          <w:sz w:val="44"/>
          <w:szCs w:val="44"/>
        </w:rPr>
      </w:pPr>
    </w:p>
    <w:p w:rsidR="003D7D4F" w:rsidRDefault="00E73547">
      <w:pPr>
        <w:pStyle w:val="1"/>
        <w:spacing w:beforeLines="50" w:before="156" w:afterLines="50" w:after="156" w:line="400" w:lineRule="atLeast"/>
        <w:ind w:left="357" w:firstLineChars="0" w:firstLine="0"/>
        <w:contextualSpacing/>
        <w:jc w:val="distribute"/>
        <w:rPr>
          <w:rFonts w:eastAsia="黑体"/>
          <w:sz w:val="48"/>
          <w:szCs w:val="48"/>
        </w:rPr>
      </w:pPr>
      <w:r>
        <w:rPr>
          <w:rFonts w:eastAsia="黑体" w:hint="eastAsia"/>
          <w:sz w:val="48"/>
          <w:szCs w:val="48"/>
        </w:rPr>
        <w:t>绿色食品生产操作规程</w:t>
      </w:r>
    </w:p>
    <w:p w:rsidR="003D7D4F" w:rsidRDefault="00E73547">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 xml:space="preserve">LB/T </w:t>
      </w:r>
      <w:r w:rsidR="0082260F">
        <w:rPr>
          <w:rFonts w:ascii="黑体" w:eastAsia="黑体" w:hAnsi="黑体" w:cs="宋体" w:hint="eastAsia"/>
          <w:sz w:val="28"/>
          <w:szCs w:val="28"/>
        </w:rPr>
        <w:t>216</w:t>
      </w:r>
      <w:r>
        <w:rPr>
          <w:rFonts w:ascii="黑体" w:eastAsia="黑体" w:hAnsi="黑体" w:cs="宋体" w:hint="eastAsia"/>
          <w:sz w:val="28"/>
          <w:szCs w:val="28"/>
        </w:rPr>
        <w:t>-20</w:t>
      </w:r>
      <w:r w:rsidR="0082260F">
        <w:rPr>
          <w:rFonts w:ascii="黑体" w:eastAsia="黑体" w:hAnsi="黑体" w:cs="宋体" w:hint="eastAsia"/>
          <w:sz w:val="28"/>
          <w:szCs w:val="28"/>
        </w:rPr>
        <w:t>22</w:t>
      </w:r>
    </w:p>
    <w:p w:rsidR="003D7D4F" w:rsidRDefault="00E73547">
      <w:pPr>
        <w:pStyle w:val="1"/>
        <w:spacing w:beforeLines="50" w:before="156" w:afterLines="50" w:after="156" w:line="400" w:lineRule="atLeast"/>
        <w:ind w:left="357" w:firstLineChars="0" w:firstLine="0"/>
        <w:contextualSpacing/>
        <w:jc w:val="right"/>
        <w:rPr>
          <w:rFonts w:eastAsia="黑体"/>
          <w:sz w:val="28"/>
          <w:szCs w:val="28"/>
        </w:rPr>
      </w:pPr>
      <w:r>
        <w:rPr>
          <w:rFonts w:eastAsia="黑体"/>
          <w:noProof/>
          <w:sz w:val="28"/>
          <w:szCs w:val="28"/>
        </w:rPr>
        <mc:AlternateContent>
          <mc:Choice Requires="wps">
            <w:drawing>
              <wp:anchor distT="0" distB="0" distL="114300" distR="114300" simplePos="0" relativeHeight="251660288" behindDoc="0" locked="0" layoutInCell="1" allowOverlap="1" wp14:anchorId="415144E6" wp14:editId="65CCF4D5">
                <wp:simplePos x="0" y="0"/>
                <wp:positionH relativeFrom="column">
                  <wp:posOffset>160020</wp:posOffset>
                </wp:positionH>
                <wp:positionV relativeFrom="paragraph">
                  <wp:posOffset>76200</wp:posOffset>
                </wp:positionV>
                <wp:extent cx="5173980" cy="0"/>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517398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2.6pt;margin-top:6pt;height:0pt;width:407.4pt;z-index:251660288;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jhrfQNQAAAAIAQAADwAAAAAAAAABACAAAAAiAAAAZHJzL2Rvd25yZXYueG1s&#10;UEsBAhQAFAAAAAgAh07iQNMMQB78AQAA7AMAAA4AAAAAAAAAAQAgAAAAIwEAAGRycy9lMm9Eb2Mu&#10;eG1sUEsFBgAAAAAGAAYAWQEAAJEFAAAAAA==&#10;">
                <v:fill on="f" focussize="0,0"/>
                <v:stroke color="#000000" joinstyle="round"/>
                <v:imagedata o:title=""/>
                <o:lock v:ext="edit" aspectratio="f"/>
              </v:shape>
            </w:pict>
          </mc:Fallback>
        </mc:AlternateContent>
      </w: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E73547">
      <w:pPr>
        <w:pStyle w:val="1"/>
        <w:spacing w:beforeLines="50" w:before="156" w:afterLines="50" w:after="156" w:line="360" w:lineRule="auto"/>
        <w:ind w:left="357" w:firstLineChars="0" w:firstLine="0"/>
        <w:contextualSpacing/>
        <w:jc w:val="center"/>
        <w:rPr>
          <w:rFonts w:eastAsia="黑体"/>
          <w:sz w:val="48"/>
          <w:szCs w:val="48"/>
        </w:rPr>
      </w:pPr>
      <w:r>
        <w:rPr>
          <w:rFonts w:eastAsia="黑体" w:hint="eastAsia"/>
          <w:sz w:val="48"/>
          <w:szCs w:val="48"/>
        </w:rPr>
        <w:t>东北平原地区</w:t>
      </w:r>
    </w:p>
    <w:p w:rsidR="003D7D4F" w:rsidRDefault="003D7D4F">
      <w:pPr>
        <w:pStyle w:val="1"/>
        <w:spacing w:beforeLines="50" w:before="156" w:afterLines="50" w:after="156" w:line="360" w:lineRule="auto"/>
        <w:ind w:left="357" w:firstLineChars="0" w:firstLine="0"/>
        <w:contextualSpacing/>
        <w:jc w:val="center"/>
        <w:rPr>
          <w:rFonts w:eastAsia="黑体"/>
          <w:sz w:val="18"/>
          <w:szCs w:val="18"/>
        </w:rPr>
      </w:pPr>
    </w:p>
    <w:p w:rsidR="003D7D4F" w:rsidRDefault="00E73547">
      <w:pPr>
        <w:pStyle w:val="1"/>
        <w:spacing w:beforeLines="50" w:before="156" w:afterLines="50" w:after="156" w:line="360" w:lineRule="auto"/>
        <w:ind w:left="357" w:firstLineChars="0" w:firstLine="0"/>
        <w:contextualSpacing/>
        <w:jc w:val="center"/>
        <w:rPr>
          <w:rFonts w:eastAsia="黑体"/>
          <w:sz w:val="48"/>
          <w:szCs w:val="48"/>
        </w:rPr>
      </w:pPr>
      <w:r>
        <w:rPr>
          <w:rFonts w:eastAsia="黑体" w:hint="eastAsia"/>
          <w:sz w:val="48"/>
          <w:szCs w:val="48"/>
        </w:rPr>
        <w:t>绿色食品青花菜生产操作规程</w:t>
      </w: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E2E97" w:rsidRDefault="003E2E97">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E73547">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1040B1">
        <w:rPr>
          <w:rFonts w:ascii="黑体" w:eastAsia="黑体" w:hAnsi="黑体" w:cs="宋体" w:hint="eastAsia"/>
          <w:sz w:val="28"/>
          <w:szCs w:val="28"/>
        </w:rPr>
        <w:t>22</w:t>
      </w:r>
      <w:r>
        <w:rPr>
          <w:rFonts w:ascii="黑体" w:eastAsia="黑体" w:hAnsi="黑体" w:cs="宋体" w:hint="eastAsia"/>
          <w:sz w:val="28"/>
          <w:szCs w:val="28"/>
        </w:rPr>
        <w:t>-</w:t>
      </w:r>
      <w:r w:rsidR="001040B1">
        <w:rPr>
          <w:rFonts w:ascii="黑体" w:eastAsia="黑体" w:hAnsi="黑体" w:cs="宋体" w:hint="eastAsia"/>
          <w:sz w:val="28"/>
          <w:szCs w:val="28"/>
        </w:rPr>
        <w:t>04</w:t>
      </w:r>
      <w:r>
        <w:rPr>
          <w:rFonts w:ascii="黑体" w:eastAsia="黑体" w:hAnsi="黑体" w:cs="宋体" w:hint="eastAsia"/>
          <w:sz w:val="28"/>
          <w:szCs w:val="28"/>
        </w:rPr>
        <w:t>-</w:t>
      </w:r>
      <w:r w:rsidR="001040B1">
        <w:rPr>
          <w:rFonts w:ascii="黑体" w:eastAsia="黑体" w:hAnsi="黑体" w:cs="宋体" w:hint="eastAsia"/>
          <w:sz w:val="28"/>
          <w:szCs w:val="28"/>
        </w:rPr>
        <w:t>11</w:t>
      </w:r>
      <w:r>
        <w:rPr>
          <w:rFonts w:ascii="黑体" w:eastAsia="黑体" w:hAnsi="黑体" w:cs="宋体" w:hint="eastAsia"/>
          <w:sz w:val="28"/>
          <w:szCs w:val="28"/>
        </w:rPr>
        <w:t xml:space="preserve">发布              </w:t>
      </w:r>
      <w:r w:rsidR="001040B1">
        <w:rPr>
          <w:rFonts w:ascii="黑体" w:eastAsia="黑体" w:hAnsi="黑体" w:cs="宋体" w:hint="eastAsia"/>
          <w:sz w:val="28"/>
          <w:szCs w:val="28"/>
        </w:rPr>
        <w:t xml:space="preserve">          </w:t>
      </w:r>
      <w:r>
        <w:rPr>
          <w:rFonts w:ascii="黑体" w:eastAsia="黑体" w:hAnsi="黑体" w:cs="宋体" w:hint="eastAsia"/>
          <w:sz w:val="28"/>
          <w:szCs w:val="28"/>
        </w:rPr>
        <w:t>20</w:t>
      </w:r>
      <w:r w:rsidR="001040B1">
        <w:rPr>
          <w:rFonts w:ascii="黑体" w:eastAsia="黑体" w:hAnsi="黑体" w:cs="宋体" w:hint="eastAsia"/>
          <w:sz w:val="28"/>
          <w:szCs w:val="28"/>
        </w:rPr>
        <w:t>22</w:t>
      </w:r>
      <w:r>
        <w:rPr>
          <w:rFonts w:ascii="黑体" w:eastAsia="黑体" w:hAnsi="黑体" w:cs="宋体" w:hint="eastAsia"/>
          <w:sz w:val="28"/>
          <w:szCs w:val="28"/>
        </w:rPr>
        <w:t>-</w:t>
      </w:r>
      <w:r w:rsidR="001040B1">
        <w:rPr>
          <w:rFonts w:ascii="黑体" w:eastAsia="黑体" w:hAnsi="黑体" w:cs="宋体" w:hint="eastAsia"/>
          <w:sz w:val="28"/>
          <w:szCs w:val="28"/>
        </w:rPr>
        <w:t>04</w:t>
      </w:r>
      <w:r>
        <w:rPr>
          <w:rFonts w:ascii="黑体" w:eastAsia="黑体" w:hAnsi="黑体" w:cs="宋体" w:hint="eastAsia"/>
          <w:sz w:val="28"/>
          <w:szCs w:val="28"/>
        </w:rPr>
        <w:t>-</w:t>
      </w:r>
      <w:r w:rsidR="001040B1">
        <w:rPr>
          <w:rFonts w:ascii="黑体" w:eastAsia="黑体" w:hAnsi="黑体" w:cs="宋体" w:hint="eastAsia"/>
          <w:sz w:val="28"/>
          <w:szCs w:val="28"/>
        </w:rPr>
        <w:t>15</w:t>
      </w:r>
      <w:r>
        <w:rPr>
          <w:rFonts w:ascii="黑体" w:eastAsia="黑体" w:hAnsi="黑体" w:cs="宋体" w:hint="eastAsia"/>
          <w:sz w:val="28"/>
          <w:szCs w:val="28"/>
        </w:rPr>
        <w:t>实施</w:t>
      </w:r>
    </w:p>
    <w:p w:rsidR="003D7D4F" w:rsidRDefault="00E73547">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61312" behindDoc="0" locked="0" layoutInCell="1" allowOverlap="1" wp14:anchorId="2A65E0F1" wp14:editId="21735299">
                <wp:simplePos x="0" y="0"/>
                <wp:positionH relativeFrom="column">
                  <wp:posOffset>205740</wp:posOffset>
                </wp:positionH>
                <wp:positionV relativeFrom="paragraph">
                  <wp:posOffset>114300</wp:posOffset>
                </wp:positionV>
                <wp:extent cx="4853940" cy="15240"/>
                <wp:effectExtent l="5715" t="5715" r="7620" b="7620"/>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6.2pt;margin-top:9pt;height:1.2pt;width:382.2pt;z-index:251661312;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Eai2kdcAAAAIAQAADwAAAAAAAAABACAAAAAiAAAAZHJzL2Rvd25yZXYueG1s&#10;UEsBAhQAFAAAAAgAh07iQPFD9lP5AQAAxAMAAA4AAAAAAAAAAQAgAAAAJgEAAGRycy9lMm9Eb2Mu&#10;eG1sUEsFBgAAAAAGAAYAWQEAAJEFAAAAAA==&#10;">
                <v:fill on="f" focussize="0,0"/>
                <v:stroke color="#000000" joinstyle="round"/>
                <v:imagedata o:title=""/>
                <o:lock v:ext="edit" aspectratio="f"/>
              </v:shape>
            </w:pict>
          </mc:Fallback>
        </mc:AlternateContent>
      </w:r>
    </w:p>
    <w:p w:rsidR="003D7D4F" w:rsidRDefault="00E73547">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r w:rsidRPr="0082260F">
        <w:rPr>
          <w:rFonts w:ascii="华文中宋" w:eastAsia="华文中宋" w:hAnsi="华文中宋" w:cs="宋体" w:hint="eastAsia"/>
          <w:spacing w:val="71"/>
          <w:kern w:val="0"/>
          <w:sz w:val="32"/>
          <w:szCs w:val="32"/>
          <w:fitText w:val="4480" w:id="-1545440000"/>
        </w:rPr>
        <w:t>中国绿色食品发展中</w:t>
      </w:r>
      <w:r w:rsidRPr="0082260F">
        <w:rPr>
          <w:rFonts w:ascii="华文中宋" w:eastAsia="华文中宋" w:hAnsi="华文中宋" w:cs="宋体" w:hint="eastAsia"/>
          <w:spacing w:val="1"/>
          <w:kern w:val="0"/>
          <w:sz w:val="32"/>
          <w:szCs w:val="32"/>
          <w:fitText w:val="4480" w:id="-1545440000"/>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3D7D4F" w:rsidRDefault="003D7D4F">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p>
    <w:p w:rsidR="003D7D4F" w:rsidRDefault="003D7D4F">
      <w:pPr>
        <w:pStyle w:val="1"/>
        <w:spacing w:beforeLines="50" w:before="156" w:afterLines="50" w:after="156" w:line="400" w:lineRule="atLeast"/>
        <w:ind w:left="357" w:firstLineChars="0" w:firstLine="0"/>
        <w:contextualSpacing/>
        <w:jc w:val="center"/>
        <w:rPr>
          <w:rFonts w:eastAsia="黑体"/>
          <w:sz w:val="28"/>
          <w:szCs w:val="28"/>
        </w:rPr>
      </w:pPr>
    </w:p>
    <w:p w:rsidR="003D7D4F" w:rsidRDefault="003D7D4F" w:rsidP="0082260F">
      <w:pPr>
        <w:pStyle w:val="1"/>
        <w:spacing w:beforeLines="50" w:before="156" w:afterLines="50" w:after="156" w:line="400" w:lineRule="atLeast"/>
        <w:ind w:firstLineChars="0" w:firstLine="0"/>
        <w:contextualSpacing/>
        <w:rPr>
          <w:rFonts w:eastAsia="黑体"/>
          <w:sz w:val="32"/>
          <w:szCs w:val="32"/>
        </w:rPr>
      </w:pPr>
    </w:p>
    <w:p w:rsidR="003D7D4F" w:rsidRDefault="00E73547">
      <w:pPr>
        <w:pStyle w:val="1"/>
        <w:spacing w:beforeLines="50" w:before="156" w:afterLines="50" w:after="156" w:line="400" w:lineRule="atLeast"/>
        <w:ind w:left="357" w:firstLineChars="0" w:firstLine="0"/>
        <w:contextualSpacing/>
        <w:jc w:val="center"/>
        <w:rPr>
          <w:rFonts w:eastAsia="黑体"/>
          <w:sz w:val="32"/>
          <w:szCs w:val="32"/>
        </w:rPr>
      </w:pPr>
      <w:r>
        <w:rPr>
          <w:rFonts w:eastAsia="黑体" w:hint="eastAsia"/>
          <w:sz w:val="32"/>
          <w:szCs w:val="32"/>
        </w:rPr>
        <w:t>前</w:t>
      </w:r>
      <w:r>
        <w:rPr>
          <w:rFonts w:eastAsia="黑体"/>
          <w:sz w:val="32"/>
          <w:szCs w:val="32"/>
        </w:rPr>
        <w:t xml:space="preserve">  </w:t>
      </w:r>
      <w:r>
        <w:rPr>
          <w:rFonts w:eastAsia="黑体" w:hint="eastAsia"/>
          <w:sz w:val="32"/>
          <w:szCs w:val="32"/>
        </w:rPr>
        <w:t>言</w:t>
      </w: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3D7D4F">
      <w:pPr>
        <w:pStyle w:val="1"/>
        <w:spacing w:beforeLines="50" w:before="156" w:afterLines="50" w:after="156" w:line="400" w:lineRule="atLeast"/>
        <w:ind w:left="357" w:firstLineChars="0" w:firstLine="0"/>
        <w:contextualSpacing/>
        <w:jc w:val="center"/>
        <w:rPr>
          <w:rFonts w:eastAsia="黑体"/>
          <w:sz w:val="32"/>
          <w:szCs w:val="32"/>
        </w:rPr>
      </w:pPr>
    </w:p>
    <w:p w:rsidR="003D7D4F" w:rsidRDefault="00E73547">
      <w:pPr>
        <w:pStyle w:val="1"/>
        <w:spacing w:beforeLines="50" w:before="156" w:afterLines="50" w:after="156" w:line="400" w:lineRule="atLeast"/>
        <w:contextualSpacing/>
        <w:jc w:val="left"/>
      </w:pPr>
      <w:r>
        <w:rPr>
          <w:rFonts w:hint="eastAsia"/>
        </w:rPr>
        <w:t>本规程由中国绿色食品发展中心提出并归口。</w:t>
      </w:r>
    </w:p>
    <w:p w:rsidR="003D7D4F" w:rsidRDefault="00E73547">
      <w:pPr>
        <w:pStyle w:val="1"/>
        <w:spacing w:beforeLines="50" w:before="156" w:afterLines="50" w:after="156" w:line="400" w:lineRule="atLeast"/>
        <w:contextualSpacing/>
        <w:jc w:val="left"/>
      </w:pPr>
      <w:r>
        <w:rPr>
          <w:rFonts w:hint="eastAsia"/>
        </w:rPr>
        <w:t>本规程起草单位：中国农业科学院蔬菜花卉研究所、黑龙江省农业科学院、黑龙江省农业科学院园艺分院、中国绿色食品发展中心、辽宁省绿色食品发展中心、吉林省畜牧总站、黑龙江省绿色食品发展中心、齐齐哈尔市绿色食品发展中心。</w:t>
      </w:r>
    </w:p>
    <w:p w:rsidR="003D7D4F" w:rsidRDefault="00E73547">
      <w:pPr>
        <w:pStyle w:val="1"/>
        <w:spacing w:beforeLines="50" w:before="156" w:afterLines="50" w:after="156" w:line="400" w:lineRule="atLeast"/>
        <w:contextualSpacing/>
        <w:jc w:val="left"/>
      </w:pPr>
      <w:r>
        <w:rPr>
          <w:rFonts w:hint="eastAsia"/>
        </w:rPr>
        <w:t>本规程主要起草人：闫妍、李占省，陈立新，王娟，刘力勇，尤海波，李衍素，王君，孙敏涛、粘</w:t>
      </w:r>
      <w:proofErr w:type="gramStart"/>
      <w:r>
        <w:rPr>
          <w:rFonts w:hint="eastAsia"/>
        </w:rPr>
        <w:t>昊</w:t>
      </w:r>
      <w:proofErr w:type="gramEnd"/>
      <w:r>
        <w:rPr>
          <w:rFonts w:hint="eastAsia"/>
        </w:rPr>
        <w:t>菲、辛绪红、张金凤、刘培源、王艳民。</w:t>
      </w: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left="357" w:firstLineChars="0" w:firstLine="0"/>
        <w:contextualSpacing/>
        <w:rPr>
          <w:rFonts w:eastAsiaTheme="minorEastAsia"/>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3D7D4F">
      <w:pPr>
        <w:pStyle w:val="1"/>
        <w:spacing w:beforeLines="50" w:before="156" w:afterLines="50" w:after="156" w:line="400" w:lineRule="atLeast"/>
        <w:ind w:firstLine="560"/>
        <w:contextualSpacing/>
        <w:jc w:val="left"/>
        <w:rPr>
          <w:sz w:val="28"/>
          <w:szCs w:val="28"/>
        </w:rPr>
      </w:pPr>
    </w:p>
    <w:p w:rsidR="003D7D4F" w:rsidRDefault="00E73547">
      <w:pPr>
        <w:pStyle w:val="1"/>
        <w:spacing w:beforeLines="50" w:before="156" w:afterLines="50" w:after="156" w:line="400" w:lineRule="atLeast"/>
        <w:ind w:left="357" w:firstLineChars="0" w:firstLine="0"/>
        <w:contextualSpacing/>
        <w:jc w:val="center"/>
        <w:rPr>
          <w:rFonts w:eastAsia="黑体"/>
          <w:sz w:val="32"/>
          <w:szCs w:val="32"/>
        </w:rPr>
      </w:pPr>
      <w:r>
        <w:rPr>
          <w:rFonts w:eastAsia="黑体" w:hint="eastAsia"/>
          <w:sz w:val="32"/>
          <w:szCs w:val="32"/>
        </w:rPr>
        <w:t>东北平原地区</w:t>
      </w:r>
    </w:p>
    <w:p w:rsidR="003D7D4F" w:rsidRDefault="00E73547">
      <w:pPr>
        <w:pStyle w:val="1"/>
        <w:spacing w:beforeLines="50" w:before="156" w:afterLines="50" w:after="156" w:line="400" w:lineRule="atLeast"/>
        <w:ind w:left="357" w:firstLineChars="0" w:firstLine="0"/>
        <w:contextualSpacing/>
        <w:jc w:val="center"/>
        <w:rPr>
          <w:rFonts w:eastAsia="黑体"/>
          <w:sz w:val="32"/>
          <w:szCs w:val="32"/>
        </w:rPr>
      </w:pPr>
      <w:r>
        <w:rPr>
          <w:rFonts w:eastAsia="黑体" w:hint="eastAsia"/>
          <w:sz w:val="32"/>
          <w:szCs w:val="32"/>
        </w:rPr>
        <w:t>绿色食品青花菜生产操作规程</w:t>
      </w:r>
    </w:p>
    <w:p w:rsidR="003D7D4F" w:rsidRDefault="003D7D4F">
      <w:pPr>
        <w:pStyle w:val="1"/>
        <w:spacing w:beforeLines="50" w:before="156" w:afterLines="50" w:after="156" w:line="400" w:lineRule="atLeast"/>
        <w:ind w:left="357" w:firstLineChars="0" w:firstLine="0"/>
        <w:contextualSpacing/>
        <w:jc w:val="center"/>
        <w:rPr>
          <w:rFonts w:eastAsiaTheme="minorEastAsia"/>
          <w:sz w:val="28"/>
          <w:szCs w:val="28"/>
        </w:rPr>
      </w:pP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1 </w:t>
      </w:r>
      <w:r>
        <w:rPr>
          <w:rFonts w:eastAsia="黑体" w:hint="eastAsia"/>
        </w:rPr>
        <w:t>范围</w:t>
      </w:r>
    </w:p>
    <w:p w:rsidR="003D7D4F" w:rsidRDefault="00E73547">
      <w:pPr>
        <w:pStyle w:val="1"/>
        <w:spacing w:beforeLines="50" w:before="156" w:afterLines="50" w:after="156" w:line="400" w:lineRule="atLeast"/>
        <w:contextualSpacing/>
      </w:pPr>
      <w:r>
        <w:rPr>
          <w:rFonts w:hint="eastAsia"/>
        </w:rPr>
        <w:t>本规程规定了东北平原地区绿色食品青花菜的产地环境、品种选择、整地、播种、田间</w:t>
      </w:r>
      <w:bookmarkStart w:id="0" w:name="_GoBack"/>
      <w:bookmarkEnd w:id="0"/>
      <w:r>
        <w:rPr>
          <w:rFonts w:hint="eastAsia"/>
        </w:rPr>
        <w:t>管理、采收、生产废弃物的处理、运输储藏及生产档案管理。</w:t>
      </w:r>
    </w:p>
    <w:p w:rsidR="003D7D4F" w:rsidRDefault="00E73547">
      <w:pPr>
        <w:pStyle w:val="1"/>
        <w:spacing w:beforeLines="50" w:before="156" w:afterLines="50" w:after="156" w:line="400" w:lineRule="atLeast"/>
        <w:contextualSpacing/>
      </w:pPr>
      <w:r>
        <w:rPr>
          <w:rFonts w:hint="eastAsia"/>
        </w:rPr>
        <w:t>本规程适用于黑龙江、吉林和辽宁等地区绿色食品青花菜的生产。</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2 </w:t>
      </w:r>
      <w:r>
        <w:rPr>
          <w:rFonts w:eastAsia="黑体" w:hint="eastAsia"/>
        </w:rPr>
        <w:t>规范性引用文件</w:t>
      </w:r>
    </w:p>
    <w:p w:rsidR="003D7D4F" w:rsidRDefault="00E73547">
      <w:pPr>
        <w:pStyle w:val="1"/>
        <w:spacing w:beforeLines="50" w:before="156" w:afterLines="50" w:after="156" w:line="400" w:lineRule="atLeast"/>
        <w:contextualSpacing/>
      </w:pPr>
      <w:r>
        <w:rPr>
          <w:rFonts w:hint="eastAsia"/>
        </w:rPr>
        <w:t>下列文件对于本文件的应用是必不可少的。凡是注日期的引用文件，仅注日期的版本适用于本文件。凡是不注日期的引用文件，其最新版本（包括所有的修改单）适用于本文件。</w:t>
      </w:r>
    </w:p>
    <w:p w:rsidR="003D7D4F" w:rsidRDefault="00E73547">
      <w:pPr>
        <w:pStyle w:val="1"/>
        <w:spacing w:beforeLines="50" w:before="156" w:afterLines="50" w:after="156" w:line="400" w:lineRule="atLeast"/>
        <w:contextualSpacing/>
      </w:pPr>
      <w:r>
        <w:rPr>
          <w:color w:val="000000" w:themeColor="text1"/>
        </w:rPr>
        <w:t>GB 16715.2</w:t>
      </w:r>
      <w:r>
        <w:rPr>
          <w:rFonts w:hint="eastAsia"/>
          <w:color w:val="000000" w:themeColor="text1"/>
        </w:rPr>
        <w:t xml:space="preserve"> </w:t>
      </w:r>
      <w:r>
        <w:rPr>
          <w:rFonts w:hint="eastAsia"/>
          <w:color w:val="000000" w:themeColor="text1"/>
        </w:rPr>
        <w:t>瓜菜作物种子</w:t>
      </w:r>
      <w:r>
        <w:rPr>
          <w:rFonts w:hint="eastAsia"/>
          <w:color w:val="000000" w:themeColor="text1"/>
        </w:rPr>
        <w:t xml:space="preserve"> </w:t>
      </w:r>
      <w:r>
        <w:rPr>
          <w:rFonts w:hint="eastAsia"/>
          <w:color w:val="000000" w:themeColor="text1"/>
        </w:rPr>
        <w:t>白菜类</w:t>
      </w:r>
    </w:p>
    <w:p w:rsidR="003D7D4F" w:rsidRDefault="00E73547">
      <w:pPr>
        <w:pStyle w:val="1"/>
        <w:spacing w:beforeLines="50" w:before="156" w:afterLines="50" w:after="156" w:line="400" w:lineRule="atLeast"/>
        <w:contextualSpacing/>
      </w:pPr>
      <w:r>
        <w:t xml:space="preserve">NY/T 391  </w:t>
      </w:r>
      <w:r>
        <w:rPr>
          <w:rFonts w:hint="eastAsia"/>
        </w:rPr>
        <w:t>绿色食品</w:t>
      </w:r>
      <w:r>
        <w:t xml:space="preserve"> </w:t>
      </w:r>
      <w:r>
        <w:rPr>
          <w:rFonts w:hint="eastAsia"/>
        </w:rPr>
        <w:t>产地环境质量</w:t>
      </w:r>
    </w:p>
    <w:p w:rsidR="003D7D4F" w:rsidRDefault="00E73547">
      <w:pPr>
        <w:pStyle w:val="1"/>
        <w:spacing w:beforeLines="50" w:before="156" w:afterLines="50" w:after="156" w:line="400" w:lineRule="atLeast"/>
        <w:contextualSpacing/>
      </w:pPr>
      <w:r>
        <w:t xml:space="preserve">NY/T 393  </w:t>
      </w:r>
      <w:r>
        <w:rPr>
          <w:rFonts w:hint="eastAsia"/>
        </w:rPr>
        <w:t>绿色食品</w:t>
      </w:r>
      <w:r>
        <w:t xml:space="preserve"> </w:t>
      </w:r>
      <w:r>
        <w:rPr>
          <w:rFonts w:hint="eastAsia"/>
        </w:rPr>
        <w:t>农药使用准则</w:t>
      </w:r>
    </w:p>
    <w:p w:rsidR="003D7D4F" w:rsidRDefault="00E73547">
      <w:pPr>
        <w:pStyle w:val="1"/>
        <w:spacing w:beforeLines="50" w:before="156" w:afterLines="50" w:after="156" w:line="400" w:lineRule="atLeast"/>
        <w:contextualSpacing/>
      </w:pPr>
      <w:r>
        <w:t xml:space="preserve">NY/T 394  </w:t>
      </w:r>
      <w:r>
        <w:rPr>
          <w:rFonts w:hint="eastAsia"/>
        </w:rPr>
        <w:t>绿色食品</w:t>
      </w:r>
      <w:r>
        <w:t xml:space="preserve"> </w:t>
      </w:r>
      <w:r>
        <w:rPr>
          <w:rFonts w:hint="eastAsia"/>
        </w:rPr>
        <w:t>肥料使用准则</w:t>
      </w:r>
    </w:p>
    <w:p w:rsidR="003D7D4F" w:rsidRDefault="00E73547">
      <w:pPr>
        <w:pStyle w:val="1"/>
        <w:spacing w:line="400" w:lineRule="atLeast"/>
        <w:rPr>
          <w:rFonts w:eastAsiaTheme="minorEastAsia"/>
        </w:rPr>
      </w:pPr>
      <w:r>
        <w:rPr>
          <w:rFonts w:eastAsiaTheme="minorEastAsia"/>
        </w:rPr>
        <w:t xml:space="preserve">NY/T 658   </w:t>
      </w:r>
      <w:r>
        <w:rPr>
          <w:rFonts w:eastAsiaTheme="minorEastAsia" w:hint="eastAsia"/>
        </w:rPr>
        <w:t>绿色食品包装通用准则</w:t>
      </w:r>
    </w:p>
    <w:p w:rsidR="003D7D4F" w:rsidRDefault="00E73547">
      <w:pPr>
        <w:pStyle w:val="1"/>
        <w:spacing w:line="400" w:lineRule="atLeast"/>
        <w:rPr>
          <w:rFonts w:eastAsiaTheme="minorEastAsia"/>
        </w:rPr>
      </w:pPr>
      <w:r>
        <w:rPr>
          <w:rFonts w:eastAsiaTheme="minorEastAsia"/>
        </w:rPr>
        <w:t xml:space="preserve">NY/T 746   </w:t>
      </w:r>
      <w:r>
        <w:rPr>
          <w:rFonts w:eastAsiaTheme="minorEastAsia" w:hint="eastAsia"/>
        </w:rPr>
        <w:t>绿色食品甘蓝类蔬菜</w:t>
      </w:r>
    </w:p>
    <w:p w:rsidR="003D7D4F" w:rsidRDefault="00E73547">
      <w:pPr>
        <w:pStyle w:val="1"/>
        <w:spacing w:line="400" w:lineRule="atLeast"/>
        <w:rPr>
          <w:rFonts w:eastAsiaTheme="minorEastAsia"/>
        </w:rPr>
      </w:pPr>
      <w:r>
        <w:rPr>
          <w:rFonts w:eastAsiaTheme="minorEastAsia"/>
        </w:rPr>
        <w:t xml:space="preserve">NY/T 1056  </w:t>
      </w:r>
      <w:r>
        <w:rPr>
          <w:rFonts w:eastAsiaTheme="minorEastAsia" w:hint="eastAsia"/>
        </w:rPr>
        <w:t>绿色食品储藏运输准则</w:t>
      </w:r>
    </w:p>
    <w:p w:rsidR="003D7D4F" w:rsidRDefault="00E73547">
      <w:pPr>
        <w:pStyle w:val="1"/>
        <w:spacing w:line="400" w:lineRule="atLeast"/>
      </w:pPr>
      <w:r>
        <w:rPr>
          <w:rFonts w:eastAsiaTheme="minorEastAsia"/>
        </w:rPr>
        <w:t xml:space="preserve">NY/T 2118  </w:t>
      </w:r>
      <w:r>
        <w:rPr>
          <w:rStyle w:val="a8"/>
          <w:rFonts w:eastAsiaTheme="minorEastAsia" w:hint="eastAsia"/>
          <w:i w:val="0"/>
          <w:shd w:val="clear" w:color="auto" w:fill="FFFFFF"/>
        </w:rPr>
        <w:t>蔬菜育苗基质</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3 </w:t>
      </w:r>
      <w:r>
        <w:rPr>
          <w:rFonts w:eastAsia="黑体" w:hint="eastAsia"/>
        </w:rPr>
        <w:t>产地环境</w:t>
      </w:r>
    </w:p>
    <w:p w:rsidR="003D7D4F" w:rsidRDefault="00E73547">
      <w:pPr>
        <w:pStyle w:val="1"/>
        <w:spacing w:line="300" w:lineRule="auto"/>
      </w:pPr>
      <w:r>
        <w:rPr>
          <w:color w:val="000000" w:themeColor="text1"/>
        </w:rPr>
        <w:t>应符合</w:t>
      </w:r>
      <w:r>
        <w:rPr>
          <w:color w:val="000000" w:themeColor="text1"/>
        </w:rPr>
        <w:t>NY/T 391</w:t>
      </w:r>
      <w:r>
        <w:rPr>
          <w:rFonts w:hint="eastAsia"/>
          <w:color w:val="000000" w:themeColor="text1"/>
        </w:rPr>
        <w:t>的规定，并选择</w:t>
      </w:r>
      <w:r>
        <w:rPr>
          <w:rFonts w:hint="eastAsia"/>
        </w:rPr>
        <w:t>小气候条件较好，地块朝向宜东南向</w:t>
      </w:r>
      <w:r>
        <w:t>,</w:t>
      </w:r>
      <w:r>
        <w:rPr>
          <w:rFonts w:hint="eastAsia"/>
        </w:rPr>
        <w:t>光照充足</w:t>
      </w:r>
      <w:r>
        <w:t>,</w:t>
      </w:r>
      <w:r>
        <w:rPr>
          <w:rFonts w:hint="eastAsia"/>
        </w:rPr>
        <w:t>富含有机质</w:t>
      </w:r>
      <w:r>
        <w:t>,</w:t>
      </w:r>
      <w:r>
        <w:rPr>
          <w:rFonts w:hint="eastAsia"/>
        </w:rPr>
        <w:t>土壤</w:t>
      </w:r>
      <w:r>
        <w:t>pH</w:t>
      </w:r>
      <w:r>
        <w:rPr>
          <w:rFonts w:hint="eastAsia"/>
        </w:rPr>
        <w:t>值</w:t>
      </w:r>
      <w:r>
        <w:t xml:space="preserve"> 5.5</w:t>
      </w:r>
      <w:r>
        <w:rPr>
          <w:color w:val="000000"/>
          <w:kern w:val="0"/>
        </w:rPr>
        <w:t>～</w:t>
      </w:r>
      <w:r>
        <w:rPr>
          <w:color w:val="000000"/>
          <w:kern w:val="0"/>
        </w:rPr>
        <w:t>6.0</w:t>
      </w:r>
      <w:r>
        <w:rPr>
          <w:rFonts w:hint="eastAsia"/>
        </w:rPr>
        <w:t>左右的壤土。青花菜主根不发达</w:t>
      </w:r>
      <w:r>
        <w:rPr>
          <w:rFonts w:hint="eastAsia"/>
          <w:color w:val="000000" w:themeColor="text1"/>
        </w:rPr>
        <w:t>，</w:t>
      </w:r>
      <w:r>
        <w:rPr>
          <w:rFonts w:hint="eastAsia"/>
        </w:rPr>
        <w:t>侧根分枝多</w:t>
      </w:r>
      <w:r>
        <w:rPr>
          <w:rFonts w:hint="eastAsia"/>
          <w:color w:val="000000" w:themeColor="text1"/>
        </w:rPr>
        <w:t>，</w:t>
      </w:r>
      <w:r>
        <w:rPr>
          <w:rFonts w:hint="eastAsia"/>
        </w:rPr>
        <w:t>需水量大且不耐涝</w:t>
      </w:r>
      <w:r>
        <w:rPr>
          <w:rFonts w:hint="eastAsia"/>
          <w:color w:val="000000" w:themeColor="text1"/>
        </w:rPr>
        <w:t>，</w:t>
      </w:r>
      <w:r>
        <w:rPr>
          <w:rFonts w:hint="eastAsia"/>
        </w:rPr>
        <w:t>要求土壤湿润排水良好。宜与非十字花科作物轮作。</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4 </w:t>
      </w:r>
      <w:r>
        <w:rPr>
          <w:rFonts w:eastAsia="黑体" w:hint="eastAsia"/>
        </w:rPr>
        <w:t>品种（苗木）选择</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4.1</w:t>
      </w:r>
      <w:r>
        <w:rPr>
          <w:rFonts w:eastAsia="黑体" w:hint="eastAsia"/>
        </w:rPr>
        <w:t>选择原则</w:t>
      </w:r>
    </w:p>
    <w:p w:rsidR="003D7D4F" w:rsidRDefault="00E73547">
      <w:pPr>
        <w:pStyle w:val="1"/>
        <w:spacing w:beforeLines="50" w:before="156" w:afterLines="50" w:after="156" w:line="400" w:lineRule="atLeast"/>
        <w:contextualSpacing/>
        <w:rPr>
          <w:color w:val="000000" w:themeColor="text1"/>
        </w:rPr>
      </w:pPr>
      <w:r>
        <w:rPr>
          <w:color w:val="000000" w:themeColor="text1"/>
        </w:rPr>
        <w:t>种子质量应符合</w:t>
      </w:r>
      <w:r>
        <w:rPr>
          <w:color w:val="000000" w:themeColor="text1"/>
        </w:rPr>
        <w:t>GB 16715.2</w:t>
      </w:r>
      <w:r>
        <w:rPr>
          <w:rFonts w:hint="eastAsia"/>
          <w:color w:val="000000" w:themeColor="text1"/>
        </w:rPr>
        <w:t>的规定，选用优质、高产、抗病抗逆性强、商品性好、适合当季栽培、适合市场需求的青花菜品种。</w:t>
      </w:r>
      <w:r>
        <w:t>种子质量要求，纯度</w:t>
      </w:r>
      <w:r>
        <w:t>≥96%</w:t>
      </w:r>
      <w:r>
        <w:t>、净度</w:t>
      </w:r>
      <w:r>
        <w:t>≥98%</w:t>
      </w:r>
      <w:r>
        <w:t>、发芽率</w:t>
      </w:r>
      <w:r>
        <w:t>≥85%</w:t>
      </w:r>
      <w:r>
        <w:t>、水分</w:t>
      </w:r>
      <w:r>
        <w:t>≤7.0%</w:t>
      </w:r>
      <w:r>
        <w:t>。</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4.2</w:t>
      </w:r>
      <w:r>
        <w:rPr>
          <w:rFonts w:eastAsia="黑体" w:hint="eastAsia"/>
        </w:rPr>
        <w:t>品种选用</w:t>
      </w:r>
    </w:p>
    <w:p w:rsidR="003D7D4F" w:rsidRDefault="00E73547">
      <w:pPr>
        <w:pStyle w:val="1"/>
        <w:spacing w:beforeLines="50" w:before="156" w:afterLines="50" w:after="156" w:line="400" w:lineRule="atLeast"/>
        <w:contextualSpacing/>
      </w:pPr>
      <w:r>
        <w:rPr>
          <w:rFonts w:hint="eastAsia"/>
        </w:rPr>
        <w:t>炎秀、耐寒优秀（寒秀）、幸运、中青</w:t>
      </w:r>
      <w:r>
        <w:t>1</w:t>
      </w:r>
      <w:r>
        <w:rPr>
          <w:rFonts w:hint="eastAsia"/>
        </w:rPr>
        <w:t>1</w:t>
      </w:r>
      <w:r>
        <w:rPr>
          <w:rFonts w:hint="eastAsia"/>
        </w:rPr>
        <w:t>号和中青</w:t>
      </w:r>
      <w:r>
        <w:t>16</w:t>
      </w:r>
      <w:r>
        <w:rPr>
          <w:rFonts w:hint="eastAsia"/>
        </w:rPr>
        <w:t>号等。</w:t>
      </w:r>
    </w:p>
    <w:p w:rsidR="003D7D4F" w:rsidRDefault="00E73547">
      <w:pPr>
        <w:pStyle w:val="1"/>
        <w:spacing w:beforeLines="50" w:before="156" w:afterLines="50" w:after="156" w:line="400" w:lineRule="atLeast"/>
        <w:ind w:firstLineChars="0" w:firstLine="0"/>
        <w:contextualSpacing/>
        <w:jc w:val="left"/>
        <w:rPr>
          <w:rFonts w:eastAsia="黑体"/>
        </w:rPr>
      </w:pPr>
      <w:r>
        <w:rPr>
          <w:color w:val="000000" w:themeColor="text1"/>
        </w:rPr>
        <w:t>5</w:t>
      </w:r>
      <w:r>
        <w:rPr>
          <w:rFonts w:eastAsia="黑体" w:hint="eastAsia"/>
        </w:rPr>
        <w:t>播种育苗</w:t>
      </w:r>
    </w:p>
    <w:p w:rsidR="003D7D4F" w:rsidRDefault="00E73547">
      <w:pPr>
        <w:pStyle w:val="1"/>
        <w:spacing w:beforeLines="50" w:before="156" w:afterLines="50" w:after="156" w:line="400" w:lineRule="atLeast"/>
        <w:ind w:firstLineChars="0" w:firstLine="0"/>
        <w:contextualSpacing/>
        <w:jc w:val="left"/>
        <w:rPr>
          <w:rFonts w:eastAsia="黑体"/>
        </w:rPr>
      </w:pPr>
      <w:r>
        <w:rPr>
          <w:rFonts w:eastAsia="黑体"/>
        </w:rPr>
        <w:lastRenderedPageBreak/>
        <w:t xml:space="preserve">5.1 </w:t>
      </w:r>
      <w:r>
        <w:rPr>
          <w:rFonts w:eastAsia="黑体" w:hint="eastAsia"/>
        </w:rPr>
        <w:t>种子消毒</w:t>
      </w:r>
    </w:p>
    <w:p w:rsidR="003D7D4F" w:rsidRDefault="00E73547">
      <w:pPr>
        <w:pStyle w:val="1"/>
        <w:spacing w:line="300" w:lineRule="auto"/>
        <w:rPr>
          <w:color w:val="000000" w:themeColor="text1"/>
        </w:rPr>
      </w:pPr>
      <w:r>
        <w:rPr>
          <w:rFonts w:hint="eastAsia"/>
          <w:color w:val="000000" w:themeColor="text1"/>
        </w:rPr>
        <w:t>商品种可干播，包衣种子可直接播种，未包衣的种子如需消毒处理。温汤浸种：将种子放入</w:t>
      </w:r>
      <w:r>
        <w:rPr>
          <w:color w:val="000000" w:themeColor="text1"/>
        </w:rPr>
        <w:t>55 ℃</w:t>
      </w:r>
      <w:r>
        <w:rPr>
          <w:color w:val="000000" w:themeColor="text1"/>
        </w:rPr>
        <w:t>温水浸烫</w:t>
      </w:r>
      <w:r>
        <w:rPr>
          <w:color w:val="000000" w:themeColor="text1"/>
        </w:rPr>
        <w:t>15~30 min</w:t>
      </w:r>
      <w:r>
        <w:rPr>
          <w:rFonts w:hint="eastAsia"/>
          <w:color w:val="000000" w:themeColor="text1"/>
        </w:rPr>
        <w:t>，其间不断加热水以保持水温。高温消毒：种子带菌会直接</w:t>
      </w:r>
      <w:r>
        <w:rPr>
          <w:rFonts w:hint="eastAsia"/>
          <w:color w:val="000000" w:themeColor="text1"/>
        </w:rPr>
        <w:t xml:space="preserve"> </w:t>
      </w:r>
    </w:p>
    <w:p w:rsidR="003D7D4F" w:rsidRDefault="00E73547" w:rsidP="0082260F">
      <w:pPr>
        <w:pStyle w:val="1"/>
        <w:spacing w:line="300" w:lineRule="auto"/>
        <w:ind w:firstLineChars="0" w:firstLine="0"/>
        <w:rPr>
          <w:color w:val="000000" w:themeColor="text1"/>
        </w:rPr>
      </w:pPr>
      <w:r>
        <w:rPr>
          <w:rFonts w:hint="eastAsia"/>
          <w:color w:val="000000" w:themeColor="text1"/>
        </w:rPr>
        <w:t>造成苗期和成株期发病，因此应对种子进行严格灭菌和消毒，通常在</w:t>
      </w:r>
      <w:r>
        <w:rPr>
          <w:rFonts w:hint="eastAsia"/>
          <w:color w:val="000000" w:themeColor="text1"/>
        </w:rPr>
        <w:t xml:space="preserve">60 </w:t>
      </w:r>
      <w:r>
        <w:rPr>
          <w:rFonts w:hint="eastAsia"/>
          <w:color w:val="000000" w:themeColor="text1"/>
        </w:rPr>
        <w:t>℃条件下对种子进行干热灭菌</w:t>
      </w:r>
      <w:r>
        <w:rPr>
          <w:rFonts w:hint="eastAsia"/>
          <w:color w:val="000000" w:themeColor="text1"/>
        </w:rPr>
        <w:t>6 h</w:t>
      </w:r>
      <w:r>
        <w:rPr>
          <w:rFonts w:hint="eastAsia"/>
          <w:color w:val="000000" w:themeColor="text1"/>
        </w:rPr>
        <w:t>，或在</w:t>
      </w:r>
      <w:r>
        <w:rPr>
          <w:rFonts w:hint="eastAsia"/>
          <w:color w:val="000000" w:themeColor="text1"/>
        </w:rPr>
        <w:t xml:space="preserve">50 </w:t>
      </w:r>
      <w:r>
        <w:rPr>
          <w:rFonts w:hint="eastAsia"/>
          <w:color w:val="000000" w:themeColor="text1"/>
        </w:rPr>
        <w:t>℃的热水中浸种</w:t>
      </w:r>
      <w:r>
        <w:rPr>
          <w:rFonts w:hint="eastAsia"/>
          <w:color w:val="000000" w:themeColor="text1"/>
        </w:rPr>
        <w:t>30 min</w:t>
      </w:r>
      <w:r>
        <w:rPr>
          <w:rFonts w:hint="eastAsia"/>
          <w:color w:val="000000" w:themeColor="text1"/>
        </w:rPr>
        <w:t>后晾干。</w:t>
      </w:r>
    </w:p>
    <w:p w:rsidR="003D7D4F" w:rsidRDefault="00E73547">
      <w:pPr>
        <w:pStyle w:val="1"/>
        <w:spacing w:beforeLines="50" w:before="156" w:afterLines="50" w:after="156" w:line="400" w:lineRule="atLeast"/>
        <w:ind w:firstLineChars="0" w:firstLine="0"/>
        <w:contextualSpacing/>
        <w:jc w:val="left"/>
        <w:rPr>
          <w:rFonts w:eastAsia="黑体"/>
        </w:rPr>
      </w:pPr>
      <w:r>
        <w:rPr>
          <w:rFonts w:eastAsia="黑体"/>
        </w:rPr>
        <w:t xml:space="preserve">5.2 </w:t>
      </w:r>
      <w:r>
        <w:rPr>
          <w:rFonts w:eastAsia="黑体" w:hint="eastAsia"/>
        </w:rPr>
        <w:t>播种</w:t>
      </w:r>
    </w:p>
    <w:p w:rsidR="003D7D4F" w:rsidRDefault="00E73547">
      <w:pPr>
        <w:pStyle w:val="1"/>
        <w:spacing w:line="300" w:lineRule="auto"/>
        <w:rPr>
          <w:color w:val="000000" w:themeColor="text1"/>
        </w:rPr>
      </w:pPr>
      <w:r>
        <w:rPr>
          <w:rFonts w:hint="eastAsia"/>
          <w:color w:val="000000" w:themeColor="text1"/>
        </w:rPr>
        <w:t>黑龙江和吉林地区</w:t>
      </w:r>
      <w:r>
        <w:rPr>
          <w:rFonts w:hint="eastAsia"/>
          <w:color w:val="000000" w:themeColor="text1"/>
        </w:rPr>
        <w:t>6</w:t>
      </w:r>
      <w:r>
        <w:rPr>
          <w:rFonts w:hint="eastAsia"/>
          <w:color w:val="000000" w:themeColor="text1"/>
        </w:rPr>
        <w:t>月底</w:t>
      </w:r>
      <w:r>
        <w:rPr>
          <w:rFonts w:hint="eastAsia"/>
          <w:color w:val="000000" w:themeColor="text1"/>
        </w:rPr>
        <w:t>-7</w:t>
      </w:r>
      <w:r>
        <w:rPr>
          <w:rFonts w:hint="eastAsia"/>
          <w:color w:val="000000" w:themeColor="text1"/>
        </w:rPr>
        <w:t>月上旬播种，辽宁地区播种时间</w:t>
      </w:r>
      <w:r>
        <w:rPr>
          <w:rFonts w:hint="eastAsia"/>
          <w:color w:val="000000" w:themeColor="text1"/>
        </w:rPr>
        <w:t>8</w:t>
      </w:r>
      <w:r>
        <w:rPr>
          <w:rFonts w:hint="eastAsia"/>
          <w:color w:val="000000" w:themeColor="text1"/>
        </w:rPr>
        <w:t>月中旬到</w:t>
      </w:r>
      <w:r>
        <w:rPr>
          <w:rFonts w:hint="eastAsia"/>
          <w:color w:val="000000" w:themeColor="text1"/>
        </w:rPr>
        <w:t>8</w:t>
      </w:r>
      <w:r>
        <w:rPr>
          <w:rFonts w:hint="eastAsia"/>
          <w:color w:val="000000" w:themeColor="text1"/>
        </w:rPr>
        <w:t>月底播种。温室、简易大棚、小拱棚等设施均可育苗。选用优质商品育苗基质，加水拌匀，湿度以手捏成团、松手散开为宜。采用</w:t>
      </w:r>
      <w:r>
        <w:rPr>
          <w:rFonts w:hint="eastAsia"/>
          <w:color w:val="000000" w:themeColor="text1"/>
        </w:rPr>
        <w:t>72</w:t>
      </w:r>
      <w:r>
        <w:rPr>
          <w:rFonts w:hint="eastAsia"/>
          <w:color w:val="000000" w:themeColor="text1"/>
        </w:rPr>
        <w:t>孔、</w:t>
      </w:r>
      <w:r>
        <w:rPr>
          <w:rFonts w:hint="eastAsia"/>
          <w:color w:val="000000" w:themeColor="text1"/>
        </w:rPr>
        <w:t>105</w:t>
      </w:r>
      <w:r>
        <w:rPr>
          <w:rFonts w:hint="eastAsia"/>
          <w:color w:val="000000" w:themeColor="text1"/>
        </w:rPr>
        <w:t>孔或</w:t>
      </w:r>
      <w:r>
        <w:rPr>
          <w:color w:val="000000" w:themeColor="text1"/>
        </w:rPr>
        <w:t>128</w:t>
      </w:r>
      <w:r>
        <w:rPr>
          <w:rFonts w:hint="eastAsia"/>
          <w:color w:val="000000" w:themeColor="text1"/>
        </w:rPr>
        <w:t>孔穴盘育苗，基质装盘后每穴播</w:t>
      </w:r>
      <w:r>
        <w:rPr>
          <w:color w:val="000000" w:themeColor="text1"/>
        </w:rPr>
        <w:t>1</w:t>
      </w:r>
      <w:r>
        <w:rPr>
          <w:rFonts w:hint="eastAsia"/>
          <w:color w:val="000000" w:themeColor="text1"/>
        </w:rPr>
        <w:t>粒种子，覆盖基质厚</w:t>
      </w:r>
      <w:r>
        <w:rPr>
          <w:color w:val="000000" w:themeColor="text1"/>
        </w:rPr>
        <w:t>0.5~</w:t>
      </w:r>
      <w:r>
        <w:rPr>
          <w:rFonts w:hint="eastAsia"/>
          <w:color w:val="000000" w:themeColor="text1"/>
        </w:rPr>
        <w:t>1</w:t>
      </w:r>
      <w:r>
        <w:rPr>
          <w:color w:val="000000" w:themeColor="text1"/>
        </w:rPr>
        <w:t>cm</w:t>
      </w:r>
      <w:r>
        <w:rPr>
          <w:rFonts w:hint="eastAsia"/>
          <w:color w:val="000000" w:themeColor="text1"/>
        </w:rPr>
        <w:t>，基质保持见干见湿。出苗后，视天气情况揭膜和覆盖遮阳网，加强水分管理和通风管理。</w:t>
      </w:r>
    </w:p>
    <w:p w:rsidR="003D7D4F" w:rsidRDefault="00E73547">
      <w:pPr>
        <w:pStyle w:val="1"/>
        <w:spacing w:beforeLines="50" w:before="156" w:afterLines="50" w:after="156" w:line="400" w:lineRule="atLeast"/>
        <w:ind w:firstLineChars="0" w:firstLine="0"/>
        <w:contextualSpacing/>
        <w:jc w:val="left"/>
        <w:rPr>
          <w:rFonts w:eastAsia="黑体"/>
        </w:rPr>
      </w:pPr>
      <w:r>
        <w:rPr>
          <w:rFonts w:eastAsia="黑体"/>
        </w:rPr>
        <w:t xml:space="preserve">5.3 </w:t>
      </w:r>
      <w:r>
        <w:rPr>
          <w:rFonts w:eastAsia="黑体" w:hint="eastAsia"/>
        </w:rPr>
        <w:t>苗期管理</w:t>
      </w:r>
    </w:p>
    <w:p w:rsidR="003D7D4F" w:rsidRDefault="00E73547">
      <w:pPr>
        <w:pStyle w:val="1"/>
        <w:spacing w:line="300" w:lineRule="auto"/>
        <w:rPr>
          <w:color w:val="000000" w:themeColor="text1"/>
        </w:rPr>
      </w:pPr>
      <w:r>
        <w:rPr>
          <w:rFonts w:hint="eastAsia"/>
          <w:color w:val="000000" w:themeColor="text1"/>
        </w:rPr>
        <w:t>青花菜种植前一般需要育苗，倘若基质中存在致病菌且未经消毒，也会造成黑腐病的发生。因此，购买消毒的基质或对基质进行灭菌处理非常重要。通常，需要将基质进行高温或蒸汽密闭消毒，一般在</w:t>
      </w:r>
      <w:r>
        <w:rPr>
          <w:rFonts w:hint="eastAsia"/>
          <w:color w:val="000000" w:themeColor="text1"/>
        </w:rPr>
        <w:t>70</w:t>
      </w:r>
      <w:r>
        <w:rPr>
          <w:rFonts w:hint="eastAsia"/>
          <w:color w:val="000000" w:themeColor="text1"/>
        </w:rPr>
        <w:t>～</w:t>
      </w:r>
      <w:r>
        <w:rPr>
          <w:rFonts w:hint="eastAsia"/>
          <w:color w:val="000000" w:themeColor="text1"/>
        </w:rPr>
        <w:t xml:space="preserve">90 </w:t>
      </w:r>
      <w:r>
        <w:rPr>
          <w:rFonts w:hint="eastAsia"/>
          <w:color w:val="000000" w:themeColor="text1"/>
        </w:rPr>
        <w:t>℃条件下消毒</w:t>
      </w:r>
      <w:r>
        <w:rPr>
          <w:rFonts w:hint="eastAsia"/>
          <w:color w:val="000000" w:themeColor="text1"/>
        </w:rPr>
        <w:t xml:space="preserve"> 0.5</w:t>
      </w:r>
      <w:r>
        <w:rPr>
          <w:rFonts w:hint="eastAsia"/>
          <w:color w:val="000000" w:themeColor="text1"/>
        </w:rPr>
        <w:t>～</w:t>
      </w:r>
      <w:r>
        <w:rPr>
          <w:rFonts w:hint="eastAsia"/>
          <w:color w:val="000000" w:themeColor="text1"/>
        </w:rPr>
        <w:t>1.0 h</w:t>
      </w:r>
      <w:r>
        <w:rPr>
          <w:rFonts w:hint="eastAsia"/>
          <w:color w:val="000000" w:themeColor="text1"/>
        </w:rPr>
        <w:t>就能杀死病菌，每次消毒基质不宜过多（</w:t>
      </w:r>
      <w:r>
        <w:rPr>
          <w:rFonts w:hint="eastAsia"/>
          <w:color w:val="000000" w:themeColor="text1"/>
        </w:rPr>
        <w:t>1</w:t>
      </w:r>
      <w:r>
        <w:rPr>
          <w:rFonts w:hint="eastAsia"/>
          <w:color w:val="000000" w:themeColor="text1"/>
        </w:rPr>
        <w:t>～</w:t>
      </w:r>
      <w:r>
        <w:rPr>
          <w:rFonts w:hint="eastAsia"/>
          <w:color w:val="000000" w:themeColor="text1"/>
        </w:rPr>
        <w:t>2 m</w:t>
      </w:r>
      <w:r w:rsidRPr="0082260F">
        <w:rPr>
          <w:color w:val="000000" w:themeColor="text1"/>
          <w:vertAlign w:val="superscript"/>
        </w:rPr>
        <w:t>3</w:t>
      </w:r>
      <w:r>
        <w:rPr>
          <w:rFonts w:hint="eastAsia"/>
          <w:color w:val="000000" w:themeColor="text1"/>
        </w:rPr>
        <w:t>），基质含水量以</w:t>
      </w:r>
      <w:r>
        <w:rPr>
          <w:rFonts w:hint="eastAsia"/>
          <w:color w:val="000000" w:themeColor="text1"/>
        </w:rPr>
        <w:t>35%</w:t>
      </w:r>
      <w:r>
        <w:rPr>
          <w:rFonts w:hint="eastAsia"/>
          <w:color w:val="000000" w:themeColor="text1"/>
        </w:rPr>
        <w:t>～</w:t>
      </w:r>
      <w:r>
        <w:rPr>
          <w:rFonts w:hint="eastAsia"/>
          <w:color w:val="000000" w:themeColor="text1"/>
        </w:rPr>
        <w:t>45%</w:t>
      </w:r>
      <w:r>
        <w:rPr>
          <w:rFonts w:hint="eastAsia"/>
          <w:color w:val="000000" w:themeColor="text1"/>
        </w:rPr>
        <w:t>为宜，过湿或过干都会降低消毒效果。</w:t>
      </w:r>
    </w:p>
    <w:p w:rsidR="003D7D4F" w:rsidRDefault="00E73547">
      <w:pPr>
        <w:pStyle w:val="1"/>
        <w:spacing w:line="300" w:lineRule="auto"/>
        <w:rPr>
          <w:highlight w:val="yellow"/>
        </w:rPr>
      </w:pPr>
      <w:r>
        <w:rPr>
          <w:rFonts w:hint="eastAsia"/>
          <w:color w:val="000000" w:themeColor="text1"/>
        </w:rPr>
        <w:t>秧苗长至</w:t>
      </w:r>
      <w:r>
        <w:rPr>
          <w:color w:val="000000" w:themeColor="text1"/>
        </w:rPr>
        <w:t>2</w:t>
      </w:r>
      <w:r>
        <w:rPr>
          <w:rFonts w:hint="eastAsia"/>
          <w:color w:val="000000" w:themeColor="text1"/>
        </w:rPr>
        <w:t>叶</w:t>
      </w:r>
      <w:r>
        <w:rPr>
          <w:color w:val="000000" w:themeColor="text1"/>
        </w:rPr>
        <w:t>1</w:t>
      </w:r>
      <w:r>
        <w:rPr>
          <w:rFonts w:hint="eastAsia"/>
          <w:color w:val="000000" w:themeColor="text1"/>
        </w:rPr>
        <w:t>心后适当控水，促进根系生长。秧苗长有</w:t>
      </w:r>
      <w:r>
        <w:rPr>
          <w:rFonts w:hint="eastAsia"/>
          <w:color w:val="000000" w:themeColor="text1"/>
        </w:rPr>
        <w:t>4</w:t>
      </w:r>
      <w:r>
        <w:rPr>
          <w:color w:val="000000" w:themeColor="text1"/>
        </w:rPr>
        <w:t>~</w:t>
      </w:r>
      <w:r>
        <w:rPr>
          <w:rFonts w:hint="eastAsia"/>
          <w:color w:val="000000" w:themeColor="text1"/>
        </w:rPr>
        <w:t>6</w:t>
      </w:r>
      <w:r>
        <w:rPr>
          <w:rFonts w:hint="eastAsia"/>
          <w:color w:val="000000" w:themeColor="text1"/>
        </w:rPr>
        <w:t>片真叶、苗高</w:t>
      </w:r>
      <w:r>
        <w:rPr>
          <w:color w:val="000000" w:themeColor="text1"/>
        </w:rPr>
        <w:t>15 cm</w:t>
      </w:r>
      <w:r>
        <w:rPr>
          <w:rFonts w:hint="eastAsia"/>
          <w:color w:val="000000" w:themeColor="text1"/>
        </w:rPr>
        <w:t>左右时即可移栽。移栽定植前</w:t>
      </w:r>
      <w:r>
        <w:rPr>
          <w:rFonts w:hint="eastAsia"/>
          <w:color w:val="000000" w:themeColor="text1"/>
        </w:rPr>
        <w:t>7</w:t>
      </w:r>
      <w:r>
        <w:rPr>
          <w:rFonts w:hint="eastAsia"/>
          <w:color w:val="000000" w:themeColor="text1"/>
        </w:rPr>
        <w:t>～</w:t>
      </w:r>
      <w:r>
        <w:rPr>
          <w:rFonts w:hint="eastAsia"/>
          <w:color w:val="000000" w:themeColor="text1"/>
        </w:rPr>
        <w:t>10 d</w:t>
      </w:r>
      <w:r>
        <w:rPr>
          <w:rFonts w:hint="eastAsia"/>
          <w:color w:val="000000" w:themeColor="text1"/>
        </w:rPr>
        <w:t>要揭除遮阳网，使秧苗充分见光炼苗。</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6 </w:t>
      </w:r>
      <w:r>
        <w:rPr>
          <w:rFonts w:eastAsia="黑体"/>
        </w:rPr>
        <w:t>整地及基肥施</w:t>
      </w:r>
      <w:r>
        <w:rPr>
          <w:rFonts w:eastAsia="黑体" w:hint="eastAsia"/>
        </w:rPr>
        <w:t>用</w:t>
      </w:r>
    </w:p>
    <w:p w:rsidR="003D7D4F" w:rsidRDefault="00E73547">
      <w:pPr>
        <w:pStyle w:val="1"/>
        <w:spacing w:beforeLines="50" w:before="156" w:afterLines="50" w:after="156" w:line="400" w:lineRule="atLeast"/>
        <w:contextualSpacing/>
        <w:jc w:val="left"/>
        <w:rPr>
          <w:color w:val="000000" w:themeColor="text1"/>
        </w:rPr>
      </w:pPr>
      <w:r>
        <w:rPr>
          <w:color w:val="000000" w:themeColor="text1"/>
        </w:rPr>
        <w:t>施用基肥种类及使用原则应符合</w:t>
      </w:r>
      <w:r>
        <w:rPr>
          <w:color w:val="000000" w:themeColor="text1"/>
        </w:rPr>
        <w:t>NY/T 394</w:t>
      </w:r>
      <w:r>
        <w:rPr>
          <w:rFonts w:hint="eastAsia"/>
          <w:color w:val="000000" w:themeColor="text1"/>
        </w:rPr>
        <w:t>的要求，每亩</w:t>
      </w:r>
      <w:proofErr w:type="gramStart"/>
      <w:r>
        <w:rPr>
          <w:rFonts w:hint="eastAsia"/>
          <w:color w:val="000000" w:themeColor="text1"/>
        </w:rPr>
        <w:t>施商品</w:t>
      </w:r>
      <w:proofErr w:type="gramEnd"/>
      <w:r>
        <w:rPr>
          <w:rFonts w:hint="eastAsia"/>
          <w:color w:val="000000" w:themeColor="text1"/>
        </w:rPr>
        <w:t>生物有机肥（拮抗内生菌及根际</w:t>
      </w:r>
      <w:proofErr w:type="gramStart"/>
      <w:r>
        <w:rPr>
          <w:rFonts w:hint="eastAsia"/>
          <w:color w:val="000000" w:themeColor="text1"/>
        </w:rPr>
        <w:t>菌</w:t>
      </w:r>
      <w:proofErr w:type="gramEnd"/>
      <w:r>
        <w:rPr>
          <w:rFonts w:hint="eastAsia"/>
          <w:color w:val="000000" w:themeColor="text1"/>
        </w:rPr>
        <w:t>含量≥</w:t>
      </w:r>
      <w:r>
        <w:rPr>
          <w:color w:val="000000" w:themeColor="text1"/>
        </w:rPr>
        <w:t xml:space="preserve"> 3</w:t>
      </w:r>
      <w:r>
        <w:rPr>
          <w:rFonts w:hint="eastAsia"/>
          <w:color w:val="000000" w:themeColor="text1"/>
        </w:rPr>
        <w:t>亿个</w:t>
      </w:r>
      <w:r>
        <w:rPr>
          <w:color w:val="000000" w:themeColor="text1"/>
        </w:rPr>
        <w:t>· g</w:t>
      </w:r>
      <w:r>
        <w:rPr>
          <w:color w:val="000000" w:themeColor="text1"/>
          <w:vertAlign w:val="superscript"/>
        </w:rPr>
        <w:t>-1</w:t>
      </w:r>
      <w:r>
        <w:rPr>
          <w:rFonts w:hint="eastAsia"/>
          <w:color w:val="000000" w:themeColor="text1"/>
        </w:rPr>
        <w:t>，有机质含量＞</w:t>
      </w:r>
      <w:r>
        <w:rPr>
          <w:color w:val="000000" w:themeColor="text1"/>
        </w:rPr>
        <w:t>60%</w:t>
      </w:r>
      <w:r>
        <w:rPr>
          <w:rFonts w:hint="eastAsia"/>
          <w:color w:val="000000" w:themeColor="text1"/>
        </w:rPr>
        <w:t>）</w:t>
      </w:r>
      <w:r>
        <w:rPr>
          <w:color w:val="000000" w:themeColor="text1"/>
        </w:rPr>
        <w:t>160 kg</w:t>
      </w:r>
      <w:r>
        <w:rPr>
          <w:rFonts w:hint="eastAsia"/>
          <w:color w:val="000000" w:themeColor="text1"/>
        </w:rPr>
        <w:t>，配合施用含腐植酸的纯硫酸钾复合肥料（总养分</w:t>
      </w:r>
      <w:r>
        <w:rPr>
          <w:color w:val="000000" w:themeColor="text1"/>
        </w:rPr>
        <w:t>45%</w:t>
      </w:r>
      <w:r>
        <w:rPr>
          <w:rFonts w:hint="eastAsia"/>
          <w:color w:val="000000" w:themeColor="text1"/>
        </w:rPr>
        <w:t>，</w:t>
      </w:r>
      <w:r>
        <w:rPr>
          <w:color w:val="000000" w:themeColor="text1"/>
        </w:rPr>
        <w:t>N-P</w:t>
      </w:r>
      <w:r>
        <w:rPr>
          <w:color w:val="000000" w:themeColor="text1"/>
          <w:vertAlign w:val="subscript"/>
        </w:rPr>
        <w:t>2</w:t>
      </w:r>
      <w:r>
        <w:rPr>
          <w:color w:val="000000" w:themeColor="text1"/>
        </w:rPr>
        <w:t>O</w:t>
      </w:r>
      <w:r>
        <w:rPr>
          <w:color w:val="000000" w:themeColor="text1"/>
          <w:vertAlign w:val="subscript"/>
        </w:rPr>
        <w:t>5</w:t>
      </w:r>
      <w:r>
        <w:rPr>
          <w:color w:val="000000" w:themeColor="text1"/>
        </w:rPr>
        <w:t>-K</w:t>
      </w:r>
      <w:r>
        <w:rPr>
          <w:color w:val="000000" w:themeColor="text1"/>
          <w:vertAlign w:val="subscript"/>
        </w:rPr>
        <w:t>2</w:t>
      </w:r>
      <w:r>
        <w:rPr>
          <w:color w:val="000000" w:themeColor="text1"/>
        </w:rPr>
        <w:t>O</w:t>
      </w:r>
      <w:r>
        <w:rPr>
          <w:rFonts w:hint="eastAsia"/>
          <w:color w:val="000000" w:themeColor="text1"/>
        </w:rPr>
        <w:t>为</w:t>
      </w:r>
      <w:r>
        <w:rPr>
          <w:color w:val="000000" w:themeColor="text1"/>
        </w:rPr>
        <w:t>16-9-20</w:t>
      </w:r>
      <w:r>
        <w:rPr>
          <w:rFonts w:hint="eastAsia"/>
          <w:color w:val="000000" w:themeColor="text1"/>
        </w:rPr>
        <w:t>）</w:t>
      </w:r>
      <w:r>
        <w:rPr>
          <w:color w:val="000000" w:themeColor="text1"/>
        </w:rPr>
        <w:t>35 kg</w:t>
      </w:r>
      <w:r>
        <w:rPr>
          <w:rFonts w:hint="eastAsia"/>
          <w:color w:val="000000" w:themeColor="text1"/>
        </w:rPr>
        <w:t>。可随滴灌冲施，或是在大</w:t>
      </w:r>
      <w:proofErr w:type="gramStart"/>
      <w:r>
        <w:rPr>
          <w:rFonts w:hint="eastAsia"/>
          <w:color w:val="000000" w:themeColor="text1"/>
        </w:rPr>
        <w:t>垄中心</w:t>
      </w:r>
      <w:proofErr w:type="gramEnd"/>
      <w:r>
        <w:rPr>
          <w:rFonts w:hint="eastAsia"/>
          <w:color w:val="000000" w:themeColor="text1"/>
        </w:rPr>
        <w:t>沟内集中施肥，然后覆土耙平。</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7 </w:t>
      </w:r>
      <w:r>
        <w:rPr>
          <w:rFonts w:eastAsia="黑体" w:hint="eastAsia"/>
        </w:rPr>
        <w:t>定植和密度</w:t>
      </w:r>
    </w:p>
    <w:p w:rsidR="003D7D4F" w:rsidRDefault="00E73547">
      <w:pPr>
        <w:pStyle w:val="1"/>
        <w:spacing w:beforeLines="50" w:before="156" w:afterLines="50" w:after="156" w:line="400" w:lineRule="atLeast"/>
        <w:ind w:firstLineChars="0" w:firstLine="0"/>
        <w:contextualSpacing/>
        <w:jc w:val="left"/>
        <w:rPr>
          <w:color w:val="000000" w:themeColor="text1"/>
        </w:rPr>
      </w:pPr>
      <w:r>
        <w:rPr>
          <w:color w:val="000000" w:themeColor="text1"/>
        </w:rPr>
        <w:t>7.1</w:t>
      </w:r>
      <w:r>
        <w:rPr>
          <w:rFonts w:hint="eastAsia"/>
          <w:color w:val="000000" w:themeColor="text1"/>
        </w:rPr>
        <w:t>定植</w:t>
      </w:r>
      <w:r>
        <w:rPr>
          <w:color w:val="000000" w:themeColor="text1"/>
        </w:rPr>
        <w:t xml:space="preserve"> </w:t>
      </w:r>
    </w:p>
    <w:p w:rsidR="003D7D4F" w:rsidRDefault="00E73547">
      <w:pPr>
        <w:pStyle w:val="1"/>
        <w:spacing w:line="400" w:lineRule="atLeast"/>
        <w:contextualSpacing/>
        <w:jc w:val="left"/>
        <w:rPr>
          <w:color w:val="000000" w:themeColor="text1"/>
        </w:rPr>
      </w:pPr>
      <w:r>
        <w:rPr>
          <w:rFonts w:hint="eastAsia"/>
          <w:color w:val="000000" w:themeColor="text1"/>
        </w:rPr>
        <w:t>定植前将秧苗分级，挑选大小一致的苗栽在一垄。定植时不宜用力按压基质坨，以免降低幼苗成活率定植深度以基质</w:t>
      </w:r>
      <w:proofErr w:type="gramStart"/>
      <w:r>
        <w:rPr>
          <w:rFonts w:hint="eastAsia"/>
          <w:color w:val="000000" w:themeColor="text1"/>
        </w:rPr>
        <w:t>坨低于垄面</w:t>
      </w:r>
      <w:proofErr w:type="gramEnd"/>
      <w:r>
        <w:rPr>
          <w:color w:val="000000" w:themeColor="text1"/>
        </w:rPr>
        <w:t>0.5~1.0 cm</w:t>
      </w:r>
      <w:r>
        <w:rPr>
          <w:rFonts w:hint="eastAsia"/>
          <w:color w:val="000000" w:themeColor="text1"/>
        </w:rPr>
        <w:t>为宜，定植后用细土稳固幼苗、封实定植孔，</w:t>
      </w:r>
      <w:proofErr w:type="gramStart"/>
      <w:r>
        <w:rPr>
          <w:rFonts w:hint="eastAsia"/>
          <w:color w:val="000000" w:themeColor="text1"/>
        </w:rPr>
        <w:t>浇足定根</w:t>
      </w:r>
      <w:proofErr w:type="gramEnd"/>
      <w:r>
        <w:rPr>
          <w:rFonts w:hint="eastAsia"/>
          <w:color w:val="000000" w:themeColor="text1"/>
        </w:rPr>
        <w:t>水。</w:t>
      </w:r>
    </w:p>
    <w:p w:rsidR="003D7D4F" w:rsidRDefault="00E73547">
      <w:pPr>
        <w:pStyle w:val="1"/>
        <w:spacing w:beforeLines="50" w:before="156" w:afterLines="50" w:after="156" w:line="400" w:lineRule="atLeast"/>
        <w:ind w:firstLineChars="0" w:firstLine="0"/>
        <w:contextualSpacing/>
        <w:jc w:val="left"/>
        <w:rPr>
          <w:color w:val="000000" w:themeColor="text1"/>
        </w:rPr>
      </w:pPr>
      <w:r>
        <w:rPr>
          <w:color w:val="000000" w:themeColor="text1"/>
        </w:rPr>
        <w:t xml:space="preserve">7.2 </w:t>
      </w:r>
      <w:r>
        <w:rPr>
          <w:rFonts w:hint="eastAsia"/>
          <w:color w:val="000000" w:themeColor="text1"/>
        </w:rPr>
        <w:t>密度</w:t>
      </w:r>
      <w:r>
        <w:rPr>
          <w:color w:val="000000" w:themeColor="text1"/>
        </w:rPr>
        <w:t xml:space="preserve"> </w:t>
      </w:r>
    </w:p>
    <w:p w:rsidR="003D7D4F" w:rsidRDefault="00E73547">
      <w:pPr>
        <w:pStyle w:val="1"/>
        <w:spacing w:line="400" w:lineRule="atLeast"/>
        <w:contextualSpacing/>
        <w:jc w:val="left"/>
        <w:rPr>
          <w:color w:val="000000" w:themeColor="text1"/>
        </w:rPr>
      </w:pPr>
      <w:r>
        <w:rPr>
          <w:rFonts w:hint="eastAsia"/>
          <w:color w:val="000000" w:themeColor="text1"/>
        </w:rPr>
        <w:t>根据所用的品种掌握栽培密度。一般平均行距</w:t>
      </w:r>
      <w:r>
        <w:rPr>
          <w:color w:val="000000" w:themeColor="text1"/>
        </w:rPr>
        <w:t xml:space="preserve"> 55</w:t>
      </w:r>
      <w:r>
        <w:rPr>
          <w:rFonts w:hint="eastAsia"/>
          <w:color w:val="000000" w:themeColor="text1"/>
        </w:rPr>
        <w:t>～</w:t>
      </w:r>
      <w:r>
        <w:rPr>
          <w:color w:val="000000" w:themeColor="text1"/>
        </w:rPr>
        <w:t>60 cm</w:t>
      </w:r>
      <w:r>
        <w:rPr>
          <w:rFonts w:hint="eastAsia"/>
          <w:color w:val="000000" w:themeColor="text1"/>
        </w:rPr>
        <w:t>，株距</w:t>
      </w:r>
      <w:r>
        <w:rPr>
          <w:color w:val="000000" w:themeColor="text1"/>
        </w:rPr>
        <w:t xml:space="preserve"> 40</w:t>
      </w:r>
      <w:r>
        <w:rPr>
          <w:rFonts w:hint="eastAsia"/>
          <w:color w:val="000000" w:themeColor="text1"/>
        </w:rPr>
        <w:t>～</w:t>
      </w:r>
      <w:r>
        <w:rPr>
          <w:color w:val="000000" w:themeColor="text1"/>
        </w:rPr>
        <w:t>45 cm</w:t>
      </w:r>
      <w:r>
        <w:rPr>
          <w:rFonts w:hint="eastAsia"/>
          <w:color w:val="000000" w:themeColor="text1"/>
        </w:rPr>
        <w:t>，每亩栽</w:t>
      </w:r>
      <w:r>
        <w:rPr>
          <w:rFonts w:hint="eastAsia"/>
          <w:color w:val="000000" w:themeColor="text1"/>
        </w:rPr>
        <w:t>24</w:t>
      </w:r>
      <w:r>
        <w:rPr>
          <w:color w:val="000000" w:themeColor="text1"/>
        </w:rPr>
        <w:t>00</w:t>
      </w:r>
      <w:r>
        <w:rPr>
          <w:rFonts w:hint="eastAsia"/>
          <w:color w:val="000000" w:themeColor="text1"/>
        </w:rPr>
        <w:t>～</w:t>
      </w:r>
      <w:r>
        <w:rPr>
          <w:rFonts w:hint="eastAsia"/>
          <w:color w:val="000000" w:themeColor="text1"/>
        </w:rPr>
        <w:t>28</w:t>
      </w:r>
      <w:r>
        <w:rPr>
          <w:color w:val="000000" w:themeColor="text1"/>
        </w:rPr>
        <w:t>00</w:t>
      </w:r>
      <w:r>
        <w:rPr>
          <w:rFonts w:hint="eastAsia"/>
          <w:color w:val="000000" w:themeColor="text1"/>
        </w:rPr>
        <w:t>株。</w:t>
      </w:r>
      <w:r>
        <w:rPr>
          <w:color w:val="000000" w:themeColor="text1"/>
        </w:rPr>
        <w:t>4</w:t>
      </w:r>
      <w:r>
        <w:rPr>
          <w:rFonts w:hint="eastAsia"/>
          <w:color w:val="000000" w:themeColor="text1"/>
        </w:rPr>
        <w:t>～</w:t>
      </w:r>
      <w:r>
        <w:rPr>
          <w:color w:val="000000" w:themeColor="text1"/>
        </w:rPr>
        <w:t>6</w:t>
      </w:r>
      <w:r>
        <w:rPr>
          <w:rFonts w:hint="eastAsia"/>
          <w:color w:val="000000" w:themeColor="text1"/>
        </w:rPr>
        <w:t>片真叶定植为宜，定植后要</w:t>
      </w:r>
      <w:proofErr w:type="gramStart"/>
      <w:r>
        <w:rPr>
          <w:rFonts w:hint="eastAsia"/>
          <w:color w:val="000000" w:themeColor="text1"/>
        </w:rPr>
        <w:t>及时浇缓苗</w:t>
      </w:r>
      <w:proofErr w:type="gramEnd"/>
      <w:r>
        <w:rPr>
          <w:rFonts w:hint="eastAsia"/>
          <w:color w:val="000000" w:themeColor="text1"/>
        </w:rPr>
        <w:t>水。</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8 </w:t>
      </w:r>
      <w:r>
        <w:rPr>
          <w:rFonts w:eastAsia="黑体" w:hint="eastAsia"/>
        </w:rPr>
        <w:t>田间管理</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8.1</w:t>
      </w:r>
      <w:r>
        <w:rPr>
          <w:rFonts w:eastAsia="黑体" w:hint="eastAsia"/>
        </w:rPr>
        <w:t>水分管理</w:t>
      </w:r>
    </w:p>
    <w:p w:rsidR="003D7D4F" w:rsidRDefault="00E73547">
      <w:pPr>
        <w:pStyle w:val="1"/>
        <w:spacing w:line="400" w:lineRule="atLeast"/>
        <w:contextualSpacing/>
        <w:jc w:val="left"/>
        <w:rPr>
          <w:color w:val="000000" w:themeColor="text1"/>
        </w:rPr>
      </w:pPr>
      <w:r>
        <w:rPr>
          <w:color w:val="000000" w:themeColor="text1"/>
        </w:rPr>
        <w:t>定植成活后及时查苗补缺。莲坐期（定植后</w:t>
      </w:r>
      <w:r>
        <w:rPr>
          <w:color w:val="000000" w:themeColor="text1"/>
        </w:rPr>
        <w:t xml:space="preserve"> 25 d</w:t>
      </w:r>
      <w:r>
        <w:rPr>
          <w:rFonts w:hint="eastAsia"/>
          <w:color w:val="000000" w:themeColor="text1"/>
        </w:rPr>
        <w:t>左右）保持土壤湿润，小水勤浇，雨季及时排涝，避免田间积水；结球期花球膨大迅速，天气干旱适当增加浇水次数；采收前</w:t>
      </w:r>
      <w:r>
        <w:rPr>
          <w:color w:val="000000" w:themeColor="text1"/>
        </w:rPr>
        <w:t xml:space="preserve"> </w:t>
      </w:r>
      <w:r>
        <w:rPr>
          <w:color w:val="000000" w:themeColor="text1"/>
        </w:rPr>
        <w:lastRenderedPageBreak/>
        <w:t xml:space="preserve">10~12 d </w:t>
      </w:r>
      <w:r>
        <w:rPr>
          <w:rFonts w:hint="eastAsia"/>
          <w:color w:val="000000" w:themeColor="text1"/>
        </w:rPr>
        <w:t>无雨，可浇</w:t>
      </w:r>
      <w:r>
        <w:rPr>
          <w:color w:val="000000" w:themeColor="text1"/>
        </w:rPr>
        <w:t xml:space="preserve"> 1 </w:t>
      </w:r>
      <w:r>
        <w:rPr>
          <w:rFonts w:hint="eastAsia"/>
          <w:color w:val="000000" w:themeColor="text1"/>
        </w:rPr>
        <w:t>次水以提高产量和品质。</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8.2 </w:t>
      </w:r>
      <w:r>
        <w:rPr>
          <w:rFonts w:eastAsia="黑体" w:hint="eastAsia"/>
        </w:rPr>
        <w:t>肥料管理</w:t>
      </w:r>
    </w:p>
    <w:p w:rsidR="003D7D4F" w:rsidRDefault="00E73547">
      <w:pPr>
        <w:pStyle w:val="1"/>
        <w:spacing w:line="400" w:lineRule="atLeast"/>
        <w:contextualSpacing/>
        <w:jc w:val="left"/>
        <w:rPr>
          <w:color w:val="000000" w:themeColor="text1"/>
        </w:rPr>
      </w:pPr>
      <w:r>
        <w:rPr>
          <w:color w:val="000000" w:themeColor="text1"/>
        </w:rPr>
        <w:t>定植后滴灌浇透定植水，并及时进行田间除草、划锄等工作。青花菜整个生长期间利用水肥一体化技术，共追施</w:t>
      </w:r>
      <w:r>
        <w:rPr>
          <w:color w:val="000000" w:themeColor="text1"/>
        </w:rPr>
        <w:t>4</w:t>
      </w:r>
      <w:r>
        <w:rPr>
          <w:rFonts w:hint="eastAsia"/>
          <w:color w:val="000000" w:themeColor="text1"/>
        </w:rPr>
        <w:t>次含腐植酸的水溶肥，即莲座期每亩追施平衡型水溶肥（</w:t>
      </w:r>
      <w:r>
        <w:rPr>
          <w:color w:val="000000" w:themeColor="text1"/>
        </w:rPr>
        <w:t>N-P-K</w:t>
      </w:r>
      <w:r>
        <w:rPr>
          <w:rFonts w:hint="eastAsia"/>
          <w:color w:val="000000" w:themeColor="text1"/>
        </w:rPr>
        <w:t>为</w:t>
      </w:r>
      <w:r>
        <w:rPr>
          <w:color w:val="000000" w:themeColor="text1"/>
        </w:rPr>
        <w:t xml:space="preserve"> 20-20-20</w:t>
      </w:r>
      <w:r>
        <w:rPr>
          <w:rFonts w:hint="eastAsia"/>
          <w:color w:val="000000" w:themeColor="text1"/>
        </w:rPr>
        <w:t>）</w:t>
      </w:r>
      <w:r>
        <w:rPr>
          <w:color w:val="000000" w:themeColor="text1"/>
        </w:rPr>
        <w:t>8 kg</w:t>
      </w:r>
      <w:r>
        <w:rPr>
          <w:rFonts w:hint="eastAsia"/>
          <w:color w:val="000000" w:themeColor="text1"/>
        </w:rPr>
        <w:t>，分两次施入，每次</w:t>
      </w:r>
      <w:r>
        <w:rPr>
          <w:color w:val="000000" w:themeColor="text1"/>
        </w:rPr>
        <w:t>4 kg</w:t>
      </w:r>
      <w:r>
        <w:rPr>
          <w:rFonts w:hint="eastAsia"/>
          <w:color w:val="000000" w:themeColor="text1"/>
        </w:rPr>
        <w:t>，每隔</w:t>
      </w:r>
      <w:r>
        <w:rPr>
          <w:color w:val="000000" w:themeColor="text1"/>
        </w:rPr>
        <w:t>7 d</w:t>
      </w:r>
      <w:r>
        <w:rPr>
          <w:rFonts w:hint="eastAsia"/>
          <w:color w:val="000000" w:themeColor="text1"/>
        </w:rPr>
        <w:t>施肥</w:t>
      </w:r>
      <w:r>
        <w:rPr>
          <w:color w:val="000000" w:themeColor="text1"/>
        </w:rPr>
        <w:t>1</w:t>
      </w:r>
      <w:r>
        <w:rPr>
          <w:rFonts w:hint="eastAsia"/>
          <w:color w:val="000000" w:themeColor="text1"/>
        </w:rPr>
        <w:t>次；结球期每亩追施高钾型水溶肥（</w:t>
      </w:r>
      <w:r>
        <w:rPr>
          <w:color w:val="000000" w:themeColor="text1"/>
        </w:rPr>
        <w:t>N-P-K</w:t>
      </w:r>
      <w:r>
        <w:rPr>
          <w:rFonts w:hint="eastAsia"/>
          <w:color w:val="000000" w:themeColor="text1"/>
        </w:rPr>
        <w:t>为</w:t>
      </w:r>
      <w:r>
        <w:rPr>
          <w:color w:val="000000" w:themeColor="text1"/>
        </w:rPr>
        <w:t>16-6-36</w:t>
      </w:r>
      <w:r>
        <w:rPr>
          <w:rFonts w:hint="eastAsia"/>
          <w:color w:val="000000" w:themeColor="text1"/>
        </w:rPr>
        <w:t>）</w:t>
      </w:r>
      <w:r>
        <w:rPr>
          <w:color w:val="000000" w:themeColor="text1"/>
        </w:rPr>
        <w:t>8 kg</w:t>
      </w:r>
      <w:r>
        <w:rPr>
          <w:rFonts w:hint="eastAsia"/>
          <w:color w:val="000000" w:themeColor="text1"/>
        </w:rPr>
        <w:t>，分两次施入，每次</w:t>
      </w:r>
      <w:r>
        <w:rPr>
          <w:color w:val="000000" w:themeColor="text1"/>
        </w:rPr>
        <w:t>4 kg</w:t>
      </w:r>
      <w:r>
        <w:rPr>
          <w:rFonts w:hint="eastAsia"/>
          <w:color w:val="000000" w:themeColor="text1"/>
        </w:rPr>
        <w:t>，每隔</w:t>
      </w:r>
      <w:r>
        <w:rPr>
          <w:color w:val="000000" w:themeColor="text1"/>
        </w:rPr>
        <w:t>7 d</w:t>
      </w:r>
      <w:r>
        <w:rPr>
          <w:rFonts w:hint="eastAsia"/>
          <w:color w:val="000000" w:themeColor="text1"/>
        </w:rPr>
        <w:t>施肥</w:t>
      </w:r>
      <w:r>
        <w:rPr>
          <w:color w:val="000000" w:themeColor="text1"/>
        </w:rPr>
        <w:t>1</w:t>
      </w:r>
      <w:r>
        <w:rPr>
          <w:rFonts w:hint="eastAsia"/>
          <w:color w:val="000000" w:themeColor="text1"/>
        </w:rPr>
        <w:t>次。此外，叶面喷施浓度为</w:t>
      </w:r>
      <w:r>
        <w:rPr>
          <w:color w:val="000000" w:themeColor="text1"/>
        </w:rPr>
        <w:t xml:space="preserve"> 0.1%</w:t>
      </w:r>
      <w:r>
        <w:rPr>
          <w:rFonts w:hint="eastAsia"/>
          <w:color w:val="000000" w:themeColor="text1"/>
        </w:rPr>
        <w:t>～</w:t>
      </w:r>
      <w:r>
        <w:rPr>
          <w:color w:val="000000" w:themeColor="text1"/>
        </w:rPr>
        <w:t xml:space="preserve">0.2% </w:t>
      </w:r>
      <w:r>
        <w:rPr>
          <w:rFonts w:hint="eastAsia"/>
          <w:color w:val="000000" w:themeColor="text1"/>
        </w:rPr>
        <w:t>的硼砂溶液</w:t>
      </w:r>
      <w:r>
        <w:rPr>
          <w:color w:val="000000" w:themeColor="text1"/>
        </w:rPr>
        <w:t xml:space="preserve"> 1</w:t>
      </w:r>
      <w:r>
        <w:rPr>
          <w:rFonts w:hint="eastAsia"/>
          <w:color w:val="000000" w:themeColor="text1"/>
        </w:rPr>
        <w:t>～</w:t>
      </w:r>
      <w:r>
        <w:rPr>
          <w:color w:val="000000" w:themeColor="text1"/>
        </w:rPr>
        <w:t xml:space="preserve">2 </w:t>
      </w:r>
      <w:r>
        <w:rPr>
          <w:rFonts w:hint="eastAsia"/>
          <w:color w:val="000000" w:themeColor="text1"/>
        </w:rPr>
        <w:t>次。夏秋季节土壤湿度保持在</w:t>
      </w:r>
      <w:r>
        <w:rPr>
          <w:color w:val="000000" w:themeColor="text1"/>
        </w:rPr>
        <w:t>75</w:t>
      </w:r>
      <w:r>
        <w:rPr>
          <w:rFonts w:eastAsiaTheme="minorEastAsia"/>
        </w:rPr>
        <w:t>%</w:t>
      </w:r>
      <w:r>
        <w:rPr>
          <w:rFonts w:hint="eastAsia"/>
          <w:color w:val="000000" w:themeColor="text1"/>
        </w:rPr>
        <w:t>～</w:t>
      </w:r>
      <w:r>
        <w:rPr>
          <w:color w:val="000000" w:themeColor="text1"/>
        </w:rPr>
        <w:t>85%</w:t>
      </w:r>
      <w:r>
        <w:rPr>
          <w:rFonts w:hint="eastAsia"/>
          <w:color w:val="000000" w:themeColor="text1"/>
        </w:rPr>
        <w:t>。以</w:t>
      </w:r>
      <w:proofErr w:type="gramStart"/>
      <w:r>
        <w:rPr>
          <w:rFonts w:hint="eastAsia"/>
          <w:color w:val="000000" w:themeColor="text1"/>
        </w:rPr>
        <w:t>采收主花</w:t>
      </w:r>
      <w:proofErr w:type="gramEnd"/>
      <w:r>
        <w:rPr>
          <w:rFonts w:hint="eastAsia"/>
          <w:color w:val="000000" w:themeColor="text1"/>
        </w:rPr>
        <w:t>球为主，侧枝长至</w:t>
      </w:r>
      <w:r>
        <w:rPr>
          <w:color w:val="000000" w:themeColor="text1"/>
        </w:rPr>
        <w:t>3</w:t>
      </w:r>
      <w:r>
        <w:rPr>
          <w:rFonts w:hint="eastAsia"/>
          <w:color w:val="000000" w:themeColor="text1"/>
        </w:rPr>
        <w:t>～</w:t>
      </w:r>
      <w:r>
        <w:rPr>
          <w:color w:val="000000" w:themeColor="text1"/>
        </w:rPr>
        <w:t>6 cm</w:t>
      </w:r>
      <w:r>
        <w:rPr>
          <w:rFonts w:hint="eastAsia"/>
          <w:color w:val="000000" w:themeColor="text1"/>
        </w:rPr>
        <w:t>时及时从基部去除。</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9</w:t>
      </w:r>
      <w:r>
        <w:rPr>
          <w:rFonts w:eastAsia="黑体" w:hint="eastAsia"/>
        </w:rPr>
        <w:t>病虫害防治</w:t>
      </w:r>
    </w:p>
    <w:p w:rsidR="003D7D4F" w:rsidRDefault="00E73547">
      <w:pPr>
        <w:pStyle w:val="1"/>
        <w:spacing w:line="300" w:lineRule="auto"/>
        <w:rPr>
          <w:color w:val="000000" w:themeColor="text1"/>
        </w:rPr>
      </w:pPr>
      <w:r>
        <w:rPr>
          <w:color w:val="000000" w:themeColor="text1"/>
        </w:rPr>
        <w:t>主要病虫害是黑腐病、霜霉病、头腐病、蚜虫、小菜蛾、菜青虫等。</w:t>
      </w:r>
    </w:p>
    <w:p w:rsidR="003D7D4F" w:rsidRDefault="00E73547">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 xml:space="preserve">9.1 </w:t>
      </w:r>
      <w:r>
        <w:rPr>
          <w:rFonts w:ascii="Times New Roman" w:eastAsia="黑体" w:hAnsi="Times New Roman" w:cs="Times New Roman" w:hint="eastAsia"/>
          <w:szCs w:val="21"/>
        </w:rPr>
        <w:t>防治原则</w:t>
      </w:r>
    </w:p>
    <w:p w:rsidR="003D7D4F" w:rsidRDefault="00E73547">
      <w:pPr>
        <w:pStyle w:val="1"/>
        <w:spacing w:line="300" w:lineRule="auto"/>
        <w:rPr>
          <w:color w:val="000000" w:themeColor="text1"/>
        </w:rPr>
      </w:pPr>
      <w:r>
        <w:rPr>
          <w:color w:val="000000" w:themeColor="text1"/>
        </w:rPr>
        <w:t>预防为主的病虫害防治理念树立起来，通过品种选择、肥水管理、高温消毒等措施的综合运用，促使病虫害发生率得到降低。</w:t>
      </w:r>
      <w:r>
        <w:rPr>
          <w:rFonts w:hint="eastAsia"/>
          <w:color w:val="000000" w:themeColor="text1"/>
        </w:rPr>
        <w:t>药剂选择应符合</w:t>
      </w:r>
      <w:r>
        <w:rPr>
          <w:color w:val="000000" w:themeColor="text1"/>
        </w:rPr>
        <w:t>NY/T 393</w:t>
      </w:r>
      <w:r>
        <w:rPr>
          <w:rFonts w:hint="eastAsia"/>
          <w:color w:val="000000" w:themeColor="text1"/>
        </w:rPr>
        <w:t>的规定。</w:t>
      </w:r>
    </w:p>
    <w:p w:rsidR="003D7D4F" w:rsidRDefault="00E73547">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9.1.1</w:t>
      </w:r>
      <w:r>
        <w:rPr>
          <w:rFonts w:ascii="Times New Roman" w:eastAsia="黑体" w:hAnsi="Times New Roman" w:cs="Times New Roman" w:hint="eastAsia"/>
          <w:szCs w:val="21"/>
        </w:rPr>
        <w:t>农业防治</w:t>
      </w:r>
    </w:p>
    <w:p w:rsidR="003D7D4F" w:rsidRDefault="00E73547">
      <w:pPr>
        <w:spacing w:line="400" w:lineRule="atLeast"/>
        <w:ind w:firstLineChars="200" w:firstLine="420"/>
        <w:contextualSpacing/>
        <w:rPr>
          <w:rFonts w:ascii="Times New Roman" w:hAnsi="Times New Roman" w:cs="Times New Roman"/>
          <w:color w:val="000000" w:themeColor="text1"/>
        </w:rPr>
      </w:pPr>
      <w:r>
        <w:rPr>
          <w:rFonts w:ascii="Times New Roman" w:hAnsi="Times New Roman" w:cs="Times New Roman"/>
          <w:color w:val="000000" w:themeColor="text1"/>
        </w:rPr>
        <w:t>选用抗病性和适应性强的优良青花菜品种；实行</w:t>
      </w:r>
      <w:r>
        <w:rPr>
          <w:rFonts w:ascii="Times New Roman" w:hAnsi="Times New Roman" w:cs="Times New Roman"/>
          <w:color w:val="000000" w:themeColor="text1"/>
        </w:rPr>
        <w:t>3</w:t>
      </w:r>
      <w:r>
        <w:rPr>
          <w:rFonts w:ascii="Times New Roman" w:hAnsi="Times New Roman" w:cs="Times New Roman" w:hint="eastAsia"/>
          <w:color w:val="000000" w:themeColor="text1"/>
        </w:rPr>
        <w:t>年</w:t>
      </w:r>
      <w:r>
        <w:rPr>
          <w:rFonts w:ascii="Times New Roman" w:hAnsi="Times New Roman" w:cs="Times New Roman"/>
          <w:color w:val="000000" w:themeColor="text1"/>
        </w:rPr>
        <w:t>以上轮作；勤除杂草；收获后及时清洁田园；培育壮苗，合理浇水，增施充分腐熟的有机肥，提高植株抗性。</w:t>
      </w:r>
    </w:p>
    <w:p w:rsidR="003D7D4F" w:rsidRDefault="00E73547">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9.1.2</w:t>
      </w:r>
      <w:r>
        <w:rPr>
          <w:rFonts w:ascii="Times New Roman" w:eastAsia="黑体" w:hAnsi="Times New Roman" w:cs="Times New Roman" w:hint="eastAsia"/>
          <w:szCs w:val="21"/>
        </w:rPr>
        <w:t>物理防治</w:t>
      </w:r>
    </w:p>
    <w:p w:rsidR="003D7D4F" w:rsidRDefault="00E73547">
      <w:pPr>
        <w:spacing w:line="400" w:lineRule="atLeast"/>
        <w:ind w:firstLineChars="200" w:firstLine="420"/>
        <w:contextualSpacing/>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尽量利用防虫网、杀虫灯等物理技术进行防治。定植前，在田间安装太阳能</w:t>
      </w:r>
      <w:proofErr w:type="gramStart"/>
      <w:r>
        <w:rPr>
          <w:rFonts w:ascii="Times New Roman" w:eastAsia="宋体" w:hAnsi="Times New Roman" w:cs="Times New Roman" w:hint="eastAsia"/>
          <w:color w:val="000000" w:themeColor="text1"/>
          <w:szCs w:val="21"/>
        </w:rPr>
        <w:t>频振式</w:t>
      </w:r>
      <w:proofErr w:type="gramEnd"/>
      <w:r>
        <w:rPr>
          <w:rFonts w:ascii="Times New Roman" w:eastAsia="宋体" w:hAnsi="Times New Roman" w:cs="Times New Roman" w:hint="eastAsia"/>
          <w:color w:val="000000" w:themeColor="text1"/>
          <w:szCs w:val="21"/>
        </w:rPr>
        <w:t>杀虫灯，用于监测虫情和诱杀鞘翅目、鳞翅目等害虫。每盏</w:t>
      </w:r>
      <w:proofErr w:type="gramStart"/>
      <w:r>
        <w:rPr>
          <w:rFonts w:ascii="Times New Roman" w:eastAsia="宋体" w:hAnsi="Times New Roman" w:cs="Times New Roman" w:hint="eastAsia"/>
          <w:color w:val="000000" w:themeColor="text1"/>
          <w:szCs w:val="21"/>
        </w:rPr>
        <w:t>灯有效</w:t>
      </w:r>
      <w:proofErr w:type="gramEnd"/>
      <w:r>
        <w:rPr>
          <w:rFonts w:ascii="Times New Roman" w:eastAsia="宋体" w:hAnsi="Times New Roman" w:cs="Times New Roman" w:hint="eastAsia"/>
          <w:color w:val="000000" w:themeColor="text1"/>
          <w:szCs w:val="21"/>
        </w:rPr>
        <w:t>诱杀范围为</w:t>
      </w:r>
      <w:r>
        <w:rPr>
          <w:rFonts w:ascii="Times New Roman" w:eastAsia="宋体" w:hAnsi="Times New Roman" w:cs="Times New Roman"/>
          <w:color w:val="000000" w:themeColor="text1"/>
          <w:szCs w:val="21"/>
        </w:rPr>
        <w:t>50</w:t>
      </w:r>
      <w:r>
        <w:rPr>
          <w:rFonts w:ascii="Times New Roman" w:eastAsia="宋体" w:hAnsi="Times New Roman" w:cs="Times New Roman" w:hint="eastAsia"/>
          <w:color w:val="000000" w:themeColor="text1"/>
          <w:szCs w:val="21"/>
        </w:rPr>
        <w:t>亩。定植后，在植株上方悬挂黄色粘虫板（每</w:t>
      </w:r>
      <w:r>
        <w:rPr>
          <w:rFonts w:ascii="Times New Roman" w:eastAsia="宋体" w:hAnsi="Times New Roman" w:cs="Times New Roman"/>
          <w:color w:val="000000" w:themeColor="text1"/>
          <w:szCs w:val="21"/>
        </w:rPr>
        <w:t>10 m</w:t>
      </w:r>
      <w:r>
        <w:rPr>
          <w:rFonts w:ascii="Times New Roman" w:eastAsia="宋体" w:hAnsi="Times New Roman" w:cs="Times New Roman"/>
          <w:color w:val="000000" w:themeColor="text1"/>
          <w:szCs w:val="21"/>
          <w:vertAlign w:val="superscript"/>
        </w:rPr>
        <w:t>2</w:t>
      </w:r>
      <w:r>
        <w:rPr>
          <w:rFonts w:ascii="Times New Roman" w:eastAsia="宋体" w:hAnsi="Times New Roman" w:cs="Times New Roman" w:hint="eastAsia"/>
          <w:color w:val="000000" w:themeColor="text1"/>
          <w:szCs w:val="21"/>
        </w:rPr>
        <w:t>放置</w:t>
      </w:r>
      <w:r>
        <w:rPr>
          <w:rFonts w:ascii="Times New Roman" w:eastAsia="宋体" w:hAnsi="Times New Roman" w:cs="Times New Roman"/>
          <w:color w:val="000000" w:themeColor="text1"/>
          <w:szCs w:val="21"/>
        </w:rPr>
        <w:t>1</w:t>
      </w:r>
      <w:r>
        <w:rPr>
          <w:rFonts w:ascii="Times New Roman" w:eastAsia="宋体" w:hAnsi="Times New Roman" w:cs="Times New Roman" w:hint="eastAsia"/>
          <w:color w:val="000000" w:themeColor="text1"/>
          <w:szCs w:val="21"/>
        </w:rPr>
        <w:t>块）诱杀蚜虫、糖醋液诱杀地下害虫（每亩放</w:t>
      </w:r>
      <w:r>
        <w:rPr>
          <w:rFonts w:ascii="Times New Roman" w:eastAsia="宋体" w:hAnsi="Times New Roman" w:cs="Times New Roman"/>
          <w:color w:val="000000" w:themeColor="text1"/>
          <w:szCs w:val="21"/>
        </w:rPr>
        <w:t>1</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2</w:t>
      </w:r>
      <w:r>
        <w:rPr>
          <w:rFonts w:ascii="Times New Roman" w:eastAsia="宋体" w:hAnsi="Times New Roman" w:cs="Times New Roman" w:hint="eastAsia"/>
          <w:color w:val="000000" w:themeColor="text1"/>
          <w:szCs w:val="21"/>
        </w:rPr>
        <w:t>盆）、</w:t>
      </w:r>
      <w:proofErr w:type="gramStart"/>
      <w:r>
        <w:rPr>
          <w:rFonts w:ascii="Times New Roman" w:eastAsia="宋体" w:hAnsi="Times New Roman" w:cs="Times New Roman" w:hint="eastAsia"/>
          <w:color w:val="000000" w:themeColor="text1"/>
          <w:szCs w:val="21"/>
        </w:rPr>
        <w:t>频振式</w:t>
      </w:r>
      <w:proofErr w:type="gramEnd"/>
      <w:r>
        <w:rPr>
          <w:rFonts w:ascii="Times New Roman" w:eastAsia="宋体" w:hAnsi="Times New Roman" w:cs="Times New Roman" w:hint="eastAsia"/>
          <w:color w:val="000000" w:themeColor="text1"/>
          <w:szCs w:val="21"/>
        </w:rPr>
        <w:t>杀虫灯诱杀蛾类害虫（每亩放</w:t>
      </w:r>
      <w:r>
        <w:rPr>
          <w:rFonts w:ascii="Times New Roman" w:eastAsia="宋体" w:hAnsi="Times New Roman" w:cs="Times New Roman"/>
          <w:color w:val="000000" w:themeColor="text1"/>
          <w:szCs w:val="21"/>
        </w:rPr>
        <w:t>1</w:t>
      </w:r>
      <w:r>
        <w:rPr>
          <w:rFonts w:ascii="Times New Roman" w:eastAsia="宋体" w:hAnsi="Times New Roman" w:cs="Times New Roman" w:hint="eastAsia"/>
          <w:color w:val="000000" w:themeColor="text1"/>
          <w:szCs w:val="21"/>
        </w:rPr>
        <w:t>盏）、采用性</w:t>
      </w:r>
      <w:proofErr w:type="gramStart"/>
      <w:r>
        <w:rPr>
          <w:rFonts w:ascii="Times New Roman" w:eastAsia="宋体" w:hAnsi="Times New Roman" w:cs="Times New Roman" w:hint="eastAsia"/>
          <w:color w:val="000000" w:themeColor="text1"/>
          <w:szCs w:val="21"/>
        </w:rPr>
        <w:t>诱</w:t>
      </w:r>
      <w:proofErr w:type="gramEnd"/>
      <w:r>
        <w:rPr>
          <w:rFonts w:ascii="Times New Roman" w:eastAsia="宋体" w:hAnsi="Times New Roman" w:cs="Times New Roman" w:hint="eastAsia"/>
          <w:color w:val="000000" w:themeColor="text1"/>
          <w:szCs w:val="21"/>
        </w:rPr>
        <w:t>剂诱杀等。</w:t>
      </w:r>
    </w:p>
    <w:p w:rsidR="003D7D4F" w:rsidRDefault="00E73547">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9.1.3</w:t>
      </w:r>
      <w:r>
        <w:rPr>
          <w:rFonts w:ascii="Times New Roman" w:eastAsia="黑体" w:hAnsi="Times New Roman" w:cs="Times New Roman" w:hint="eastAsia"/>
          <w:szCs w:val="21"/>
        </w:rPr>
        <w:t>生物防治</w:t>
      </w:r>
    </w:p>
    <w:p w:rsidR="003D7D4F" w:rsidRPr="0082260F" w:rsidRDefault="00E73547">
      <w:pPr>
        <w:spacing w:line="400" w:lineRule="atLeast"/>
        <w:ind w:firstLineChars="200" w:firstLine="420"/>
        <w:contextualSpacing/>
        <w:rPr>
          <w:rFonts w:ascii="Times New Roman" w:eastAsia="宋体" w:hAnsi="Times New Roman" w:cs="Times New Roman"/>
          <w:color w:val="000000" w:themeColor="text1"/>
          <w:szCs w:val="21"/>
        </w:rPr>
      </w:pPr>
      <w:r w:rsidRPr="0082260F">
        <w:rPr>
          <w:rFonts w:ascii="Times New Roman" w:eastAsia="宋体" w:hAnsi="Times New Roman" w:cs="Times New Roman" w:hint="eastAsia"/>
          <w:color w:val="000000" w:themeColor="text1"/>
          <w:szCs w:val="21"/>
        </w:rPr>
        <w:t>按“预防为主，综合防治”的总方针，以农业防治为基础，根据病虫害发生规律，因时、因地制宜，合理运用物理防治、生物防治等措施，安全、经济、有效地控制病虫害。针对夏秋青花菜病虫危害重，采用物理的绿色防控病虫，确保产品质量安全。在通过使用防虫网覆盖阻隔的基础上，研究田间放置杀虫灯、黄板以及性</w:t>
      </w:r>
      <w:proofErr w:type="gramStart"/>
      <w:r w:rsidRPr="0082260F">
        <w:rPr>
          <w:rFonts w:ascii="Times New Roman" w:eastAsia="宋体" w:hAnsi="Times New Roman" w:cs="Times New Roman" w:hint="eastAsia"/>
          <w:color w:val="000000" w:themeColor="text1"/>
          <w:szCs w:val="21"/>
        </w:rPr>
        <w:t>诱</w:t>
      </w:r>
      <w:proofErr w:type="gramEnd"/>
      <w:r w:rsidRPr="0082260F">
        <w:rPr>
          <w:rFonts w:ascii="Times New Roman" w:eastAsia="宋体" w:hAnsi="Times New Roman" w:cs="Times New Roman" w:hint="eastAsia"/>
          <w:color w:val="000000" w:themeColor="text1"/>
          <w:szCs w:val="21"/>
        </w:rPr>
        <w:t>剂诱杀装置等方法防治害虫，有效地降低病虫危害。针对菜青虫、小菜蛾，每亩可用金龟子</w:t>
      </w:r>
      <w:proofErr w:type="gramStart"/>
      <w:r w:rsidRPr="0082260F">
        <w:rPr>
          <w:rFonts w:ascii="Times New Roman" w:eastAsia="宋体" w:hAnsi="Times New Roman" w:cs="Times New Roman" w:hint="eastAsia"/>
          <w:color w:val="000000" w:themeColor="text1"/>
          <w:szCs w:val="21"/>
        </w:rPr>
        <w:t>绿僵菌</w:t>
      </w:r>
      <w:proofErr w:type="gramEnd"/>
      <w:r w:rsidRPr="0082260F">
        <w:rPr>
          <w:rFonts w:ascii="Times New Roman" w:eastAsia="宋体" w:hAnsi="Times New Roman" w:cs="Times New Roman"/>
          <w:color w:val="000000" w:themeColor="text1"/>
          <w:szCs w:val="21"/>
        </w:rPr>
        <w:t>CQMa421</w:t>
      </w:r>
      <w:r w:rsidRPr="0082260F">
        <w:rPr>
          <w:rFonts w:ascii="Times New Roman" w:eastAsia="宋体" w:hAnsi="Times New Roman" w:cs="Times New Roman" w:hint="eastAsia"/>
          <w:color w:val="000000" w:themeColor="text1"/>
          <w:szCs w:val="21"/>
        </w:rPr>
        <w:t>可</w:t>
      </w:r>
      <w:proofErr w:type="gramStart"/>
      <w:r w:rsidRPr="0082260F">
        <w:rPr>
          <w:rFonts w:ascii="Times New Roman" w:eastAsia="宋体" w:hAnsi="Times New Roman" w:cs="Times New Roman" w:hint="eastAsia"/>
          <w:color w:val="000000" w:themeColor="text1"/>
          <w:szCs w:val="21"/>
        </w:rPr>
        <w:t>分散油</w:t>
      </w:r>
      <w:proofErr w:type="gramEnd"/>
      <w:r w:rsidRPr="0082260F">
        <w:rPr>
          <w:rFonts w:ascii="Times New Roman" w:eastAsia="宋体" w:hAnsi="Times New Roman" w:cs="Times New Roman" w:hint="eastAsia"/>
          <w:color w:val="000000" w:themeColor="text1"/>
          <w:szCs w:val="21"/>
        </w:rPr>
        <w:t>悬浮剂</w:t>
      </w:r>
      <w:r w:rsidRPr="0082260F">
        <w:rPr>
          <w:rFonts w:ascii="Times New Roman" w:eastAsia="宋体" w:hAnsi="Times New Roman" w:cs="Times New Roman"/>
          <w:color w:val="000000" w:themeColor="text1"/>
          <w:szCs w:val="21"/>
        </w:rPr>
        <w:t>60</w:t>
      </w:r>
      <w:r w:rsidRPr="0082260F">
        <w:rPr>
          <w:rFonts w:ascii="Times New Roman" w:eastAsia="宋体" w:hAnsi="Times New Roman" w:cs="Times New Roman" w:hint="eastAsia"/>
          <w:color w:val="000000" w:themeColor="text1"/>
          <w:szCs w:val="21"/>
        </w:rPr>
        <w:t>～</w:t>
      </w:r>
      <w:r w:rsidRPr="0082260F">
        <w:rPr>
          <w:rFonts w:ascii="Times New Roman" w:eastAsia="宋体" w:hAnsi="Times New Roman" w:cs="Times New Roman"/>
          <w:color w:val="000000" w:themeColor="text1"/>
          <w:szCs w:val="21"/>
        </w:rPr>
        <w:t>90 mL</w:t>
      </w:r>
      <w:r w:rsidRPr="0082260F">
        <w:rPr>
          <w:rFonts w:ascii="Times New Roman" w:eastAsia="宋体" w:hAnsi="Times New Roman" w:cs="Times New Roman" w:hint="eastAsia"/>
          <w:color w:val="000000" w:themeColor="text1"/>
          <w:szCs w:val="21"/>
        </w:rPr>
        <w:t>喷施防治</w:t>
      </w:r>
      <w:r w:rsidR="00193FBB">
        <w:rPr>
          <w:rFonts w:ascii="Times New Roman" w:eastAsia="宋体" w:hAnsi="Times New Roman" w:cs="Times New Roman" w:hint="eastAsia"/>
          <w:color w:val="000000" w:themeColor="text1"/>
          <w:szCs w:val="21"/>
        </w:rPr>
        <w:t>。</w:t>
      </w:r>
    </w:p>
    <w:p w:rsidR="003D7D4F" w:rsidRDefault="00E73547">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9.1.4</w:t>
      </w:r>
      <w:r>
        <w:rPr>
          <w:rFonts w:ascii="Times New Roman" w:eastAsia="黑体" w:hAnsi="Times New Roman" w:cs="Times New Roman" w:hint="eastAsia"/>
          <w:szCs w:val="21"/>
        </w:rPr>
        <w:t>化学防治</w:t>
      </w:r>
    </w:p>
    <w:p w:rsidR="003D7D4F" w:rsidRDefault="00E73547">
      <w:pPr>
        <w:pStyle w:val="1"/>
        <w:spacing w:line="300" w:lineRule="auto"/>
        <w:rPr>
          <w:color w:val="000000" w:themeColor="text1"/>
        </w:rPr>
      </w:pPr>
      <w:r>
        <w:rPr>
          <w:color w:val="000000" w:themeColor="text1"/>
        </w:rPr>
        <w:t>化学药剂的使用应符合</w:t>
      </w:r>
      <w:r>
        <w:rPr>
          <w:color w:val="000000" w:themeColor="text1"/>
        </w:rPr>
        <w:t>NY/T 393</w:t>
      </w:r>
      <w:r>
        <w:rPr>
          <w:color w:val="000000" w:themeColor="text1"/>
        </w:rPr>
        <w:t>的要求，同一病害化学防治应轮换用药。主要病虫害化学防治方法见附录</w:t>
      </w:r>
      <w:r w:rsidR="00193FBB">
        <w:rPr>
          <w:rFonts w:hint="eastAsia"/>
          <w:color w:val="000000" w:themeColor="text1"/>
        </w:rPr>
        <w:t>A</w:t>
      </w:r>
      <w:r>
        <w:rPr>
          <w:rFonts w:hint="eastAsia"/>
          <w:color w:val="000000" w:themeColor="text1"/>
        </w:rPr>
        <w:t>。</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10 </w:t>
      </w:r>
      <w:r>
        <w:rPr>
          <w:rFonts w:eastAsia="黑体" w:hint="eastAsia"/>
        </w:rPr>
        <w:t>采收</w:t>
      </w:r>
    </w:p>
    <w:p w:rsidR="003D7D4F" w:rsidRDefault="00E73547">
      <w:pPr>
        <w:pStyle w:val="1"/>
        <w:spacing w:beforeLines="50" w:before="156" w:afterLines="50" w:after="156" w:line="400" w:lineRule="atLeast"/>
        <w:contextualSpacing/>
      </w:pPr>
      <w:r>
        <w:rPr>
          <w:rFonts w:hint="eastAsia"/>
        </w:rPr>
        <w:t>秋季采收期为</w:t>
      </w:r>
      <w:r>
        <w:rPr>
          <w:rFonts w:hint="eastAsia"/>
        </w:rPr>
        <w:t>10</w:t>
      </w:r>
      <w:r>
        <w:rPr>
          <w:rFonts w:hint="eastAsia"/>
        </w:rPr>
        <w:t>月初至</w:t>
      </w:r>
      <w:r>
        <w:rPr>
          <w:rFonts w:hint="eastAsia"/>
        </w:rPr>
        <w:t>11</w:t>
      </w:r>
      <w:r>
        <w:rPr>
          <w:rFonts w:hint="eastAsia"/>
        </w:rPr>
        <w:t>月初，或秋冬种植翌年</w:t>
      </w:r>
      <w:r>
        <w:t>2</w:t>
      </w:r>
      <w:r>
        <w:rPr>
          <w:rFonts w:hint="eastAsia"/>
        </w:rPr>
        <w:t>月上中旬至</w:t>
      </w:r>
      <w:r>
        <w:rPr>
          <w:rFonts w:hint="eastAsia"/>
        </w:rPr>
        <w:t>3</w:t>
      </w:r>
      <w:r>
        <w:rPr>
          <w:rFonts w:hint="eastAsia"/>
        </w:rPr>
        <w:t>月初采收，出口标准</w:t>
      </w:r>
      <w:proofErr w:type="gramStart"/>
      <w:r>
        <w:rPr>
          <w:rFonts w:hint="eastAsia"/>
        </w:rPr>
        <w:t>为当主花球直径</w:t>
      </w:r>
      <w:proofErr w:type="gramEnd"/>
      <w:r>
        <w:rPr>
          <w:rFonts w:hint="eastAsia"/>
        </w:rPr>
        <w:t>达</w:t>
      </w:r>
      <w:r>
        <w:t>1</w:t>
      </w:r>
      <w:r>
        <w:rPr>
          <w:rFonts w:hint="eastAsia"/>
        </w:rPr>
        <w:t>2</w:t>
      </w:r>
      <w:r>
        <w:rPr>
          <w:rFonts w:hint="eastAsia"/>
        </w:rPr>
        <w:t>～</w:t>
      </w:r>
      <w:r>
        <w:t>14 cm</w:t>
      </w:r>
      <w:r>
        <w:rPr>
          <w:rFonts w:hint="eastAsia"/>
        </w:rPr>
        <w:t>、花蕾紧实时即可采收，内销可适当</w:t>
      </w:r>
      <w:proofErr w:type="gramStart"/>
      <w:r>
        <w:rPr>
          <w:rFonts w:hint="eastAsia"/>
        </w:rPr>
        <w:t>增大主花球直径</w:t>
      </w:r>
      <w:proofErr w:type="gramEnd"/>
      <w:r>
        <w:t>1</w:t>
      </w:r>
      <w:r>
        <w:rPr>
          <w:rFonts w:hint="eastAsia"/>
        </w:rPr>
        <w:t>4</w:t>
      </w:r>
      <w:r>
        <w:rPr>
          <w:rFonts w:hint="eastAsia"/>
        </w:rPr>
        <w:t>～</w:t>
      </w:r>
      <w:r>
        <w:t>1</w:t>
      </w:r>
      <w:r>
        <w:rPr>
          <w:rFonts w:hint="eastAsia"/>
        </w:rPr>
        <w:t>8</w:t>
      </w:r>
      <w:r>
        <w:t xml:space="preserve"> cm</w:t>
      </w:r>
      <w:r>
        <w:rPr>
          <w:rFonts w:hint="eastAsia"/>
        </w:rPr>
        <w:t>、花球紧实时采收，秋冬季尽量选择春节前后价格较高时采收。采收宜在早晚进行，以</w:t>
      </w:r>
      <w:r>
        <w:rPr>
          <w:rFonts w:hint="eastAsia"/>
        </w:rPr>
        <w:lastRenderedPageBreak/>
        <w:t>防太阳照射影响花球色泽和形态。</w:t>
      </w:r>
      <w:r>
        <w:t xml:space="preserve"> </w:t>
      </w:r>
      <w:r>
        <w:rPr>
          <w:rFonts w:hint="eastAsia"/>
        </w:rPr>
        <w:t>采收时要连带花球下部</w:t>
      </w:r>
      <w:r>
        <w:t>10 cm</w:t>
      </w:r>
      <w:proofErr w:type="gramStart"/>
      <w:r>
        <w:rPr>
          <w:rFonts w:hint="eastAsia"/>
        </w:rPr>
        <w:t>左右嫩</w:t>
      </w:r>
      <w:proofErr w:type="gramEnd"/>
      <w:r>
        <w:rPr>
          <w:rFonts w:hint="eastAsia"/>
        </w:rPr>
        <w:t>茎及</w:t>
      </w:r>
      <w:r>
        <w:t>2</w:t>
      </w:r>
      <w:r>
        <w:rPr>
          <w:rFonts w:hint="eastAsia"/>
        </w:rPr>
        <w:t>～</w:t>
      </w:r>
      <w:r>
        <w:t>3</w:t>
      </w:r>
      <w:r>
        <w:rPr>
          <w:rFonts w:hint="eastAsia"/>
        </w:rPr>
        <w:t>片嫩叶一起平割。切割后将花球放置在专用的筐里，轻装轻运，减少挤压，以免影响商品性。</w:t>
      </w:r>
    </w:p>
    <w:p w:rsidR="003D7D4F" w:rsidRPr="0082260F" w:rsidRDefault="00E73547">
      <w:pPr>
        <w:widowControl/>
        <w:spacing w:line="420" w:lineRule="exact"/>
        <w:ind w:firstLineChars="200" w:firstLine="420"/>
        <w:contextualSpacing/>
        <w:jc w:val="left"/>
        <w:rPr>
          <w:rFonts w:ascii="Times New Roman" w:eastAsia="宋体" w:hAnsi="Times New Roman" w:cs="Times New Roman"/>
          <w:szCs w:val="21"/>
        </w:rPr>
      </w:pPr>
      <w:r w:rsidRPr="0082260F">
        <w:rPr>
          <w:rFonts w:ascii="Times New Roman" w:eastAsia="宋体" w:hAnsi="Times New Roman" w:cs="Times New Roman" w:hint="eastAsia"/>
          <w:szCs w:val="21"/>
        </w:rPr>
        <w:t>产品质量应符合</w:t>
      </w:r>
      <w:r w:rsidRPr="0082260F">
        <w:rPr>
          <w:rFonts w:ascii="Times New Roman" w:eastAsia="宋体" w:hAnsi="Times New Roman" w:cs="Times New Roman"/>
          <w:szCs w:val="21"/>
        </w:rPr>
        <w:t>NY/T 746</w:t>
      </w:r>
      <w:r w:rsidRPr="0082260F">
        <w:rPr>
          <w:rFonts w:ascii="Times New Roman" w:eastAsia="宋体" w:hAnsi="Times New Roman" w:cs="Times New Roman" w:hint="eastAsia"/>
          <w:szCs w:val="21"/>
        </w:rPr>
        <w:t>的规定，包装应符合</w:t>
      </w:r>
      <w:r w:rsidRPr="0082260F">
        <w:rPr>
          <w:rFonts w:ascii="Times New Roman" w:eastAsia="宋体" w:hAnsi="Times New Roman" w:cs="Times New Roman"/>
          <w:szCs w:val="21"/>
        </w:rPr>
        <w:t>NY/T 658</w:t>
      </w:r>
      <w:r w:rsidRPr="0082260F">
        <w:rPr>
          <w:rFonts w:ascii="Times New Roman" w:eastAsia="宋体" w:hAnsi="Times New Roman" w:cs="Times New Roman" w:hint="eastAsia"/>
          <w:szCs w:val="21"/>
        </w:rPr>
        <w:t>。</w:t>
      </w:r>
    </w:p>
    <w:p w:rsidR="003D7D4F" w:rsidRDefault="00E73547">
      <w:pPr>
        <w:pStyle w:val="1"/>
        <w:spacing w:beforeLines="50" w:before="156" w:afterLines="50" w:after="156" w:line="400" w:lineRule="atLeast"/>
        <w:ind w:firstLineChars="0" w:firstLine="0"/>
        <w:contextualSpacing/>
        <w:rPr>
          <w:rFonts w:eastAsia="黑体"/>
        </w:rPr>
      </w:pPr>
      <w:r>
        <w:rPr>
          <w:rFonts w:eastAsia="黑体"/>
        </w:rPr>
        <w:t xml:space="preserve">11 </w:t>
      </w:r>
      <w:r>
        <w:rPr>
          <w:rFonts w:eastAsia="黑体"/>
        </w:rPr>
        <w:t>运输储藏</w:t>
      </w:r>
    </w:p>
    <w:p w:rsidR="003D7D4F" w:rsidRDefault="00E73547">
      <w:pPr>
        <w:adjustRightInd w:val="0"/>
        <w:snapToGrid w:val="0"/>
        <w:spacing w:line="420" w:lineRule="exact"/>
        <w:ind w:firstLineChars="200" w:firstLine="420"/>
        <w:rPr>
          <w:rFonts w:ascii="Times New Roman" w:hAnsi="Times New Roman" w:cs="Times New Roman"/>
          <w:snapToGrid w:val="0"/>
          <w:kern w:val="0"/>
          <w:szCs w:val="21"/>
        </w:rPr>
      </w:pPr>
      <w:r>
        <w:rPr>
          <w:rFonts w:ascii="Times New Roman" w:eastAsiaTheme="majorEastAsia" w:hAnsi="Times New Roman" w:cs="Times New Roman"/>
        </w:rPr>
        <w:t>应符合</w:t>
      </w:r>
      <w:r>
        <w:rPr>
          <w:rFonts w:ascii="Times New Roman" w:eastAsiaTheme="majorEastAsia" w:hAnsi="Times New Roman" w:cs="Times New Roman"/>
        </w:rPr>
        <w:t>NY/T1056</w:t>
      </w:r>
      <w:r>
        <w:rPr>
          <w:rFonts w:ascii="Times New Roman" w:eastAsiaTheme="majorEastAsia" w:hAnsi="Times New Roman" w:cs="Times New Roman"/>
        </w:rPr>
        <w:t>的规定。</w:t>
      </w:r>
      <w:r>
        <w:rPr>
          <w:rFonts w:ascii="Times New Roman" w:hAnsi="Times New Roman" w:cs="Times New Roman"/>
          <w:snapToGrid w:val="0"/>
          <w:kern w:val="0"/>
          <w:szCs w:val="21"/>
        </w:rPr>
        <w:t>运输工具应有控温、控湿措施，运输过程中要定期检查产品环境的温湿度，以保持绿色青花菜品质所需适宜温湿度，并注意防冻、防晒、防雨淋等。</w:t>
      </w:r>
    </w:p>
    <w:p w:rsidR="003D7D4F" w:rsidRDefault="00E73547">
      <w:pPr>
        <w:adjustRightInd w:val="0"/>
        <w:snapToGrid w:val="0"/>
        <w:spacing w:line="420" w:lineRule="exact"/>
        <w:rPr>
          <w:rFonts w:ascii="Times New Roman" w:hAnsi="Times New Roman" w:cs="Times New Roman"/>
          <w:snapToGrid w:val="0"/>
          <w:kern w:val="0"/>
          <w:szCs w:val="21"/>
        </w:rPr>
      </w:pPr>
      <w:proofErr w:type="gramStart"/>
      <w:r>
        <w:rPr>
          <w:rFonts w:ascii="Times New Roman" w:hAnsi="Times New Roman" w:cs="Times New Roman"/>
          <w:snapToGrid w:val="0"/>
          <w:kern w:val="0"/>
          <w:szCs w:val="21"/>
        </w:rPr>
        <w:t>储藏库应具有</w:t>
      </w:r>
      <w:proofErr w:type="gramEnd"/>
      <w:r>
        <w:rPr>
          <w:rFonts w:ascii="Times New Roman" w:hAnsi="Times New Roman" w:cs="Times New Roman"/>
          <w:snapToGrid w:val="0"/>
          <w:kern w:val="0"/>
          <w:szCs w:val="21"/>
        </w:rPr>
        <w:t>防虫、防鼠功能，且事先进行消毒。储存时应按品种、规格分别储存。储存时温度应保持在</w:t>
      </w:r>
      <w:r>
        <w:rPr>
          <w:rFonts w:ascii="Times New Roman" w:hAnsi="Times New Roman" w:cs="Times New Roman"/>
          <w:snapToGrid w:val="0"/>
          <w:kern w:val="0"/>
          <w:szCs w:val="21"/>
        </w:rPr>
        <w:t>0℃</w:t>
      </w:r>
      <w:r>
        <w:rPr>
          <w:rFonts w:ascii="Times New Roman" w:hAnsi="Times New Roman" w:cs="Times New Roman"/>
          <w:snapToGrid w:val="0"/>
          <w:kern w:val="0"/>
          <w:szCs w:val="21"/>
        </w:rPr>
        <w:t>～</w:t>
      </w:r>
      <w:r>
        <w:rPr>
          <w:rFonts w:ascii="Times New Roman" w:hAnsi="Times New Roman" w:cs="Times New Roman"/>
          <w:snapToGrid w:val="0"/>
          <w:kern w:val="0"/>
          <w:szCs w:val="21"/>
        </w:rPr>
        <w:t>1℃</w:t>
      </w:r>
      <w:r>
        <w:rPr>
          <w:rFonts w:ascii="Times New Roman" w:hAnsi="Times New Roman" w:cs="Times New Roman"/>
          <w:snapToGrid w:val="0"/>
          <w:kern w:val="0"/>
          <w:szCs w:val="21"/>
        </w:rPr>
        <w:t>，空气相对湿度保持在</w:t>
      </w:r>
      <w:r>
        <w:rPr>
          <w:rFonts w:ascii="Times New Roman" w:hAnsi="Times New Roman" w:cs="Times New Roman"/>
          <w:snapToGrid w:val="0"/>
          <w:kern w:val="0"/>
          <w:szCs w:val="21"/>
        </w:rPr>
        <w:t>90%</w:t>
      </w:r>
      <w:r>
        <w:rPr>
          <w:rFonts w:ascii="Times New Roman" w:hAnsi="Times New Roman" w:cs="Times New Roman"/>
          <w:snapToGrid w:val="0"/>
          <w:kern w:val="0"/>
          <w:szCs w:val="21"/>
        </w:rPr>
        <w:t>～</w:t>
      </w:r>
      <w:r>
        <w:rPr>
          <w:rFonts w:ascii="Times New Roman" w:hAnsi="Times New Roman" w:cs="Times New Roman"/>
          <w:bCs/>
          <w:snapToGrid w:val="0"/>
          <w:kern w:val="0"/>
          <w:szCs w:val="21"/>
        </w:rPr>
        <w:t>95</w:t>
      </w:r>
      <w:r>
        <w:rPr>
          <w:rFonts w:ascii="Times New Roman" w:hAnsi="Times New Roman" w:cs="Times New Roman"/>
          <w:snapToGrid w:val="0"/>
          <w:kern w:val="0"/>
          <w:szCs w:val="21"/>
        </w:rPr>
        <w:t>%</w:t>
      </w:r>
      <w:r>
        <w:rPr>
          <w:rFonts w:ascii="Times New Roman" w:hAnsi="Times New Roman" w:cs="Times New Roman"/>
          <w:snapToGrid w:val="0"/>
          <w:kern w:val="0"/>
          <w:szCs w:val="21"/>
        </w:rPr>
        <w:t>。</w:t>
      </w:r>
    </w:p>
    <w:p w:rsidR="003D7D4F" w:rsidRDefault="00E73547">
      <w:pPr>
        <w:adjustRightInd w:val="0"/>
        <w:snapToGrid w:val="0"/>
        <w:spacing w:beforeLines="50" w:before="156" w:afterLines="50" w:after="156" w:line="420" w:lineRule="exact"/>
        <w:ind w:firstLineChars="200" w:firstLine="420"/>
        <w:contextualSpacing/>
        <w:rPr>
          <w:rFonts w:ascii="Times New Roman" w:eastAsiaTheme="majorEastAsia" w:hAnsi="Times New Roman" w:cs="Times New Roman"/>
          <w:kern w:val="0"/>
          <w:szCs w:val="21"/>
        </w:rPr>
      </w:pPr>
      <w:r>
        <w:rPr>
          <w:rFonts w:ascii="Times New Roman" w:hAnsi="Times New Roman" w:cs="Times New Roman"/>
          <w:snapToGrid w:val="0"/>
          <w:kern w:val="0"/>
          <w:szCs w:val="21"/>
        </w:rPr>
        <w:t>库内堆码应保证空气流通。在</w:t>
      </w:r>
      <w:proofErr w:type="gramStart"/>
      <w:r>
        <w:rPr>
          <w:rFonts w:ascii="Times New Roman" w:hAnsi="Times New Roman" w:cs="Times New Roman"/>
          <w:snapToGrid w:val="0"/>
          <w:kern w:val="0"/>
          <w:szCs w:val="21"/>
        </w:rPr>
        <w:t>入储前必须</w:t>
      </w:r>
      <w:proofErr w:type="gramEnd"/>
      <w:r>
        <w:rPr>
          <w:rFonts w:ascii="Times New Roman" w:hAnsi="Times New Roman" w:cs="Times New Roman"/>
          <w:snapToGrid w:val="0"/>
          <w:kern w:val="0"/>
          <w:szCs w:val="21"/>
        </w:rPr>
        <w:t>保证花球无游离水分，储藏过程中应避免凝结水落在花球上，防止花球霉烂。</w:t>
      </w:r>
    </w:p>
    <w:p w:rsidR="003D7D4F" w:rsidRDefault="00E73547">
      <w:pPr>
        <w:pStyle w:val="1"/>
        <w:spacing w:beforeLines="50" w:before="156" w:afterLines="50" w:after="156" w:line="400" w:lineRule="atLeast"/>
        <w:ind w:firstLineChars="0" w:firstLine="0"/>
        <w:contextualSpacing/>
        <w:rPr>
          <w:rFonts w:eastAsia="黑体"/>
        </w:rPr>
      </w:pPr>
      <w:r>
        <w:rPr>
          <w:rFonts w:eastAsia="黑体" w:hint="eastAsia"/>
        </w:rPr>
        <w:t>12</w:t>
      </w:r>
      <w:r>
        <w:rPr>
          <w:rFonts w:eastAsia="黑体"/>
        </w:rPr>
        <w:t xml:space="preserve"> </w:t>
      </w:r>
      <w:r>
        <w:rPr>
          <w:rFonts w:eastAsia="黑体" w:hint="eastAsia"/>
        </w:rPr>
        <w:t>生产废弃物的处理</w:t>
      </w:r>
    </w:p>
    <w:p w:rsidR="003D7D4F" w:rsidRDefault="00E73547">
      <w:pPr>
        <w:pStyle w:val="1"/>
        <w:spacing w:beforeLines="50" w:before="156" w:afterLines="50" w:after="156" w:line="400" w:lineRule="atLeast"/>
        <w:contextualSpacing/>
      </w:pPr>
      <w:r>
        <w:rPr>
          <w:rFonts w:hint="eastAsia"/>
        </w:rPr>
        <w:t>青花菜采收结束后，应及时清洁田园。将田间地头的残枝落叶、杂草、废弃农膜、包装瓶、袋、绳、线等废弃物分类清理收集，集中进行无害化处理；及时回收微喷带等可再利用材料并妥善保存，以备下季使用。或采用机械打碎植株残体，翻入土壤后施入生物菌剂进行无害化处理。保持田园清洁，还可减轻病虫害的传播。</w:t>
      </w:r>
    </w:p>
    <w:p w:rsidR="003D7D4F" w:rsidRDefault="00E73547">
      <w:pPr>
        <w:pStyle w:val="1"/>
        <w:spacing w:beforeLines="50" w:before="156" w:afterLines="50" w:after="156" w:line="400" w:lineRule="atLeast"/>
        <w:contextualSpacing/>
        <w:rPr>
          <w:rFonts w:eastAsiaTheme="minorEastAsia"/>
        </w:rPr>
      </w:pPr>
      <w:r>
        <w:rPr>
          <w:rFonts w:eastAsiaTheme="minorEastAsia" w:hint="eastAsia"/>
        </w:rPr>
        <w:t>产品采收后应立即给予“快冷高湿”措施，即采后将产品稍加整理后，立即预冷用</w:t>
      </w:r>
      <w:r>
        <w:rPr>
          <w:rFonts w:eastAsiaTheme="minorEastAsia"/>
        </w:rPr>
        <w:t>0</w:t>
      </w:r>
      <w:r>
        <w:t>℃</w:t>
      </w:r>
      <w:r>
        <w:rPr>
          <w:rFonts w:eastAsiaTheme="minorEastAsia" w:hint="eastAsia"/>
        </w:rPr>
        <w:t>流动冷水浸泡</w:t>
      </w:r>
      <w:r>
        <w:rPr>
          <w:rFonts w:eastAsiaTheme="minorEastAsia"/>
        </w:rPr>
        <w:t>-</w:t>
      </w:r>
      <w:r>
        <w:rPr>
          <w:rFonts w:eastAsiaTheme="minorEastAsia" w:hint="eastAsia"/>
        </w:rPr>
        <w:t>储藏于</w:t>
      </w:r>
      <w:r>
        <w:rPr>
          <w:rFonts w:eastAsiaTheme="minorEastAsia" w:hint="eastAsia"/>
        </w:rPr>
        <w:t>0</w:t>
      </w:r>
      <w:r>
        <w:t>℃</w:t>
      </w:r>
      <w:r>
        <w:rPr>
          <w:rFonts w:eastAsiaTheme="minorEastAsia" w:hint="eastAsia"/>
        </w:rPr>
        <w:t>、相对湿度</w:t>
      </w:r>
      <w:r>
        <w:rPr>
          <w:rFonts w:eastAsiaTheme="minorEastAsia"/>
        </w:rPr>
        <w:t>95%</w:t>
      </w:r>
      <w:r>
        <w:rPr>
          <w:rFonts w:hint="eastAsia"/>
        </w:rPr>
        <w:t>～</w:t>
      </w:r>
      <w:r>
        <w:rPr>
          <w:rFonts w:eastAsiaTheme="minorEastAsia"/>
        </w:rPr>
        <w:t>100%</w:t>
      </w:r>
      <w:r>
        <w:rPr>
          <w:rFonts w:eastAsiaTheme="minorEastAsia" w:hint="eastAsia"/>
        </w:rPr>
        <w:t>的低温高湿环境中，用此方法一般可保鲜</w:t>
      </w:r>
      <w:r>
        <w:rPr>
          <w:rFonts w:eastAsiaTheme="minorEastAsia"/>
        </w:rPr>
        <w:t>8</w:t>
      </w:r>
      <w:r>
        <w:rPr>
          <w:rFonts w:hint="eastAsia"/>
        </w:rPr>
        <w:t>～</w:t>
      </w:r>
      <w:r>
        <w:rPr>
          <w:rFonts w:eastAsiaTheme="minorEastAsia"/>
        </w:rPr>
        <w:t>1</w:t>
      </w:r>
      <w:r>
        <w:rPr>
          <w:rFonts w:eastAsiaTheme="minorEastAsia" w:hint="eastAsia"/>
        </w:rPr>
        <w:t xml:space="preserve">5 </w:t>
      </w:r>
      <w:r>
        <w:rPr>
          <w:rFonts w:eastAsiaTheme="minorEastAsia"/>
        </w:rPr>
        <w:t>d</w:t>
      </w:r>
      <w:r>
        <w:rPr>
          <w:rFonts w:eastAsiaTheme="minorEastAsia" w:hint="eastAsia"/>
        </w:rPr>
        <w:t>。速冻品种采收时可平球割下</w:t>
      </w:r>
      <w:r>
        <w:rPr>
          <w:rFonts w:hint="eastAsia"/>
        </w:rPr>
        <w:t>，</w:t>
      </w:r>
      <w:r>
        <w:rPr>
          <w:rFonts w:eastAsiaTheme="minorEastAsia" w:hint="eastAsia"/>
        </w:rPr>
        <w:t>保留花球四周</w:t>
      </w:r>
      <w:r>
        <w:rPr>
          <w:rFonts w:hint="eastAsia"/>
        </w:rPr>
        <w:t>2</w:t>
      </w:r>
      <w:r>
        <w:rPr>
          <w:rFonts w:hint="eastAsia"/>
        </w:rPr>
        <w:t>～</w:t>
      </w:r>
      <w:r>
        <w:rPr>
          <w:rFonts w:hint="eastAsia"/>
        </w:rPr>
        <w:t xml:space="preserve">3 </w:t>
      </w:r>
      <w:r>
        <w:t>m</w:t>
      </w:r>
      <w:r>
        <w:rPr>
          <w:rFonts w:eastAsiaTheme="minorEastAsia" w:hint="eastAsia"/>
        </w:rPr>
        <w:t>片小叶（只需运输时短时间保鲜），装箱后运至工厂，整理</w:t>
      </w:r>
      <w:r>
        <w:rPr>
          <w:rFonts w:eastAsiaTheme="minorEastAsia"/>
        </w:rPr>
        <w:t>-</w:t>
      </w:r>
      <w:r>
        <w:rPr>
          <w:rFonts w:eastAsiaTheme="minorEastAsia" w:hint="eastAsia"/>
        </w:rPr>
        <w:t>烫漂</w:t>
      </w:r>
      <w:r>
        <w:rPr>
          <w:rFonts w:eastAsiaTheme="minorEastAsia"/>
        </w:rPr>
        <w:t>-</w:t>
      </w:r>
      <w:r>
        <w:rPr>
          <w:rFonts w:eastAsiaTheme="minorEastAsia" w:hint="eastAsia"/>
        </w:rPr>
        <w:t>分装</w:t>
      </w:r>
      <w:r>
        <w:rPr>
          <w:rFonts w:eastAsiaTheme="minorEastAsia"/>
        </w:rPr>
        <w:t>-</w:t>
      </w:r>
      <w:r>
        <w:rPr>
          <w:rFonts w:eastAsiaTheme="minorEastAsia" w:hint="eastAsia"/>
        </w:rPr>
        <w:t>速冻</w:t>
      </w:r>
      <w:r>
        <w:rPr>
          <w:rFonts w:eastAsiaTheme="minorEastAsia"/>
        </w:rPr>
        <w:t>-</w:t>
      </w:r>
      <w:r>
        <w:rPr>
          <w:rFonts w:eastAsiaTheme="minorEastAsia" w:hint="eastAsia"/>
        </w:rPr>
        <w:t>出口。速冻品种采收顶花球后，还可</w:t>
      </w:r>
      <w:proofErr w:type="gramStart"/>
      <w:r>
        <w:rPr>
          <w:rFonts w:eastAsiaTheme="minorEastAsia" w:hint="eastAsia"/>
        </w:rPr>
        <w:t>采收侧花球</w:t>
      </w:r>
      <w:proofErr w:type="gramEnd"/>
      <w:r>
        <w:rPr>
          <w:rFonts w:eastAsiaTheme="minorEastAsia" w:hint="eastAsia"/>
        </w:rPr>
        <w:t>，只要在采收后加强后期管理，还可提高</w:t>
      </w:r>
      <w:r>
        <w:rPr>
          <w:rFonts w:eastAsiaTheme="minorEastAsia"/>
        </w:rPr>
        <w:t>30%</w:t>
      </w:r>
      <w:r>
        <w:rPr>
          <w:rFonts w:eastAsiaTheme="minorEastAsia" w:hint="eastAsia"/>
        </w:rPr>
        <w:t>的产量。</w:t>
      </w:r>
    </w:p>
    <w:p w:rsidR="003D7D4F" w:rsidRDefault="00E73547">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1</w:t>
      </w:r>
      <w:r>
        <w:rPr>
          <w:rFonts w:ascii="Times New Roman" w:eastAsia="黑体" w:hAnsi="Times New Roman" w:cs="Times New Roman" w:hint="eastAsia"/>
          <w:szCs w:val="21"/>
        </w:rPr>
        <w:t>3</w:t>
      </w:r>
      <w:r>
        <w:rPr>
          <w:rFonts w:ascii="Times New Roman" w:eastAsia="黑体" w:hAnsi="Times New Roman" w:cs="Times New Roman"/>
          <w:szCs w:val="21"/>
        </w:rPr>
        <w:t xml:space="preserve"> </w:t>
      </w:r>
      <w:r>
        <w:rPr>
          <w:rFonts w:ascii="Times New Roman" w:eastAsia="黑体" w:hAnsi="Times New Roman" w:cs="Times New Roman" w:hint="eastAsia"/>
          <w:szCs w:val="21"/>
        </w:rPr>
        <w:t>生产档案管理</w:t>
      </w:r>
    </w:p>
    <w:p w:rsidR="003D7D4F" w:rsidRDefault="00E73547">
      <w:pPr>
        <w:spacing w:line="400" w:lineRule="atLeast"/>
        <w:ind w:firstLineChars="200" w:firstLine="420"/>
        <w:contextualSpacing/>
        <w:rPr>
          <w:rFonts w:ascii="Times New Roman" w:hAnsi="Times New Roman" w:cs="Times New Roman"/>
          <w:color w:val="FF0000"/>
          <w:szCs w:val="21"/>
        </w:rPr>
      </w:pPr>
      <w:r>
        <w:rPr>
          <w:rFonts w:ascii="Times New Roman" w:hAnsi="Times New Roman" w:cs="Times New Roman" w:hint="eastAsia"/>
        </w:rPr>
        <w:t>此项内容应明确要建立绿色食品青花菜生产档案。明确记录内容，如产地环境条件、生产技术、肥水管理、病虫草害的发生和防治、采收及采后处理等情况，明确记录保存三年以上。做到农产品生产可追溯。</w:t>
      </w:r>
    </w:p>
    <w:p w:rsidR="003D7D4F" w:rsidRDefault="003D7D4F">
      <w:pPr>
        <w:spacing w:line="400" w:lineRule="atLeast"/>
        <w:contextualSpacing/>
        <w:rPr>
          <w:rFonts w:ascii="Times New Roman" w:eastAsia="黑体" w:hAnsi="Times New Roman" w:cs="Times New Roman"/>
          <w:kern w:val="0"/>
          <w:szCs w:val="21"/>
        </w:rPr>
      </w:pPr>
    </w:p>
    <w:p w:rsidR="003D7D4F" w:rsidRDefault="00E73547">
      <w:pPr>
        <w:widowControl/>
        <w:jc w:val="left"/>
        <w:rPr>
          <w:rFonts w:ascii="Times New Roman" w:eastAsia="黑体" w:hAnsi="Times New Roman" w:cs="Times New Roman"/>
          <w:kern w:val="0"/>
          <w:szCs w:val="21"/>
        </w:rPr>
      </w:pPr>
      <w:r>
        <w:rPr>
          <w:rFonts w:ascii="Times New Roman" w:eastAsia="黑体" w:hAnsi="Times New Roman" w:cs="Times New Roman"/>
          <w:kern w:val="0"/>
          <w:szCs w:val="21"/>
        </w:rPr>
        <w:br w:type="page"/>
      </w:r>
    </w:p>
    <w:p w:rsidR="003D7D4F" w:rsidRDefault="00E73547">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lastRenderedPageBreak/>
        <w:t>附录</w:t>
      </w:r>
      <w:r>
        <w:rPr>
          <w:rFonts w:ascii="Times New Roman" w:eastAsia="黑体" w:hAnsi="Times New Roman" w:cs="Times New Roman"/>
          <w:kern w:val="0"/>
          <w:szCs w:val="21"/>
        </w:rPr>
        <w:t>A</w:t>
      </w:r>
    </w:p>
    <w:p w:rsidR="003D7D4F" w:rsidRDefault="00E73547">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（资料性附录）</w:t>
      </w:r>
    </w:p>
    <w:p w:rsidR="003D7D4F" w:rsidRDefault="00E73547">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东北平原高原绿色食品青花菜生产主要病虫草害防治推荐农药使用方案</w:t>
      </w:r>
    </w:p>
    <w:p w:rsidR="003D7D4F" w:rsidRDefault="003D7D4F">
      <w:pPr>
        <w:spacing w:line="400" w:lineRule="atLeast"/>
        <w:ind w:firstLineChars="200" w:firstLine="420"/>
        <w:contextualSpacing/>
        <w:jc w:val="center"/>
        <w:rPr>
          <w:rFonts w:ascii="Times New Roman" w:eastAsia="黑体" w:hAnsi="Times New Roman" w:cs="Times New Roman"/>
          <w:kern w:val="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1414"/>
        <w:gridCol w:w="2245"/>
        <w:gridCol w:w="1219"/>
        <w:gridCol w:w="1231"/>
        <w:gridCol w:w="878"/>
      </w:tblGrid>
      <w:tr w:rsidR="003D7D4F" w:rsidTr="00193FBB">
        <w:trPr>
          <w:trHeight w:val="454"/>
          <w:jc w:val="center"/>
        </w:trPr>
        <w:tc>
          <w:tcPr>
            <w:tcW w:w="901"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防治对象</w:t>
            </w:r>
          </w:p>
        </w:tc>
        <w:tc>
          <w:tcPr>
            <w:tcW w:w="830"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防治时期</w:t>
            </w:r>
          </w:p>
        </w:tc>
        <w:tc>
          <w:tcPr>
            <w:tcW w:w="1317"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农药名称</w:t>
            </w:r>
          </w:p>
        </w:tc>
        <w:tc>
          <w:tcPr>
            <w:tcW w:w="715"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使用量</w:t>
            </w:r>
          </w:p>
        </w:tc>
        <w:tc>
          <w:tcPr>
            <w:tcW w:w="722"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hint="eastAsia"/>
                <w:color w:val="000000"/>
                <w:kern w:val="0"/>
                <w:szCs w:val="21"/>
              </w:rPr>
              <w:t>使用方法</w:t>
            </w:r>
          </w:p>
        </w:tc>
        <w:tc>
          <w:tcPr>
            <w:tcW w:w="515"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安全间隔期（</w:t>
            </w:r>
            <w:r>
              <w:rPr>
                <w:rFonts w:ascii="Times New Roman" w:hAnsi="Times New Roman" w:cs="Times New Roman" w:hint="eastAsia"/>
                <w:color w:val="000000"/>
                <w:kern w:val="0"/>
                <w:szCs w:val="21"/>
              </w:rPr>
              <w:t>d</w:t>
            </w:r>
            <w:r>
              <w:rPr>
                <w:rFonts w:ascii="Times New Roman" w:hAnsi="Times New Roman" w:cs="Times New Roman" w:hint="eastAsia"/>
                <w:color w:val="000000"/>
                <w:kern w:val="0"/>
                <w:szCs w:val="21"/>
              </w:rPr>
              <w:t>）</w:t>
            </w:r>
          </w:p>
        </w:tc>
      </w:tr>
      <w:tr w:rsidR="003D7D4F" w:rsidTr="00193FBB">
        <w:trPr>
          <w:trHeight w:val="454"/>
          <w:jc w:val="center"/>
        </w:trPr>
        <w:tc>
          <w:tcPr>
            <w:tcW w:w="901" w:type="pct"/>
            <w:vAlign w:val="center"/>
          </w:tcPr>
          <w:p w:rsidR="003D7D4F" w:rsidRDefault="003D7D4F">
            <w:pPr>
              <w:widowControl/>
              <w:adjustRightInd w:val="0"/>
              <w:snapToGrid w:val="0"/>
              <w:jc w:val="center"/>
              <w:rPr>
                <w:rFonts w:ascii="Times New Roman" w:hAnsi="Times New Roman" w:cs="Times New Roman"/>
                <w:color w:val="000000"/>
                <w:kern w:val="0"/>
                <w:szCs w:val="21"/>
              </w:rPr>
            </w:pPr>
          </w:p>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hint="eastAsia"/>
                <w:color w:val="000000"/>
                <w:kern w:val="0"/>
                <w:szCs w:val="21"/>
              </w:rPr>
              <w:t>霜霉病</w:t>
            </w:r>
          </w:p>
          <w:p w:rsidR="003D7D4F" w:rsidRDefault="003D7D4F">
            <w:pPr>
              <w:widowControl/>
              <w:adjustRightInd w:val="0"/>
              <w:snapToGrid w:val="0"/>
              <w:jc w:val="center"/>
              <w:rPr>
                <w:rFonts w:ascii="Times New Roman" w:hAnsi="Times New Roman" w:cs="Times New Roman"/>
                <w:color w:val="000000"/>
                <w:kern w:val="0"/>
                <w:szCs w:val="21"/>
              </w:rPr>
            </w:pPr>
          </w:p>
        </w:tc>
        <w:tc>
          <w:tcPr>
            <w:tcW w:w="830"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hint="eastAsia"/>
                <w:color w:val="000000"/>
                <w:kern w:val="0"/>
                <w:szCs w:val="21"/>
              </w:rPr>
              <w:t>定植</w:t>
            </w:r>
            <w:r>
              <w:rPr>
                <w:rFonts w:ascii="Times New Roman" w:hAnsi="Times New Roman" w:cs="Times New Roman"/>
                <w:color w:val="000000"/>
                <w:kern w:val="0"/>
                <w:szCs w:val="21"/>
              </w:rPr>
              <w:t>15d</w:t>
            </w:r>
            <w:r>
              <w:rPr>
                <w:rFonts w:ascii="Times New Roman" w:hAnsi="Times New Roman" w:cs="Times New Roman" w:hint="eastAsia"/>
                <w:color w:val="000000"/>
                <w:kern w:val="0"/>
                <w:szCs w:val="21"/>
              </w:rPr>
              <w:t>后</w:t>
            </w:r>
          </w:p>
        </w:tc>
        <w:tc>
          <w:tcPr>
            <w:tcW w:w="1317" w:type="pct"/>
            <w:vAlign w:val="center"/>
          </w:tcPr>
          <w:p w:rsidR="003D7D4F" w:rsidRDefault="00E73547">
            <w:pPr>
              <w:widowControl/>
              <w:adjustRightInd w:val="0"/>
              <w:snapToGrid w:val="0"/>
              <w:ind w:firstLineChars="100" w:firstLine="210"/>
              <w:jc w:val="left"/>
              <w:rPr>
                <w:rFonts w:ascii="Times New Roman" w:hAnsi="Times New Roman" w:cs="Times New Roman"/>
                <w:color w:val="000000"/>
                <w:kern w:val="0"/>
                <w:szCs w:val="21"/>
              </w:rPr>
            </w:pPr>
            <w:r>
              <w:rPr>
                <w:rFonts w:ascii="Times New Roman" w:hAnsi="Times New Roman" w:cs="Times New Roman"/>
                <w:color w:val="000000"/>
                <w:kern w:val="0"/>
                <w:szCs w:val="21"/>
              </w:rPr>
              <w:t>7.22%</w:t>
            </w:r>
            <w:proofErr w:type="gramStart"/>
            <w:r>
              <w:rPr>
                <w:rFonts w:ascii="Times New Roman" w:hAnsi="Times New Roman" w:cs="Times New Roman" w:hint="eastAsia"/>
                <w:color w:val="000000"/>
                <w:kern w:val="0"/>
                <w:szCs w:val="21"/>
              </w:rPr>
              <w:t>霜霉威</w:t>
            </w:r>
            <w:proofErr w:type="gramEnd"/>
            <w:r>
              <w:rPr>
                <w:rFonts w:ascii="Times New Roman" w:hAnsi="Times New Roman" w:cs="Times New Roman" w:hint="eastAsia"/>
                <w:color w:val="000000"/>
                <w:kern w:val="0"/>
                <w:szCs w:val="21"/>
              </w:rPr>
              <w:t>盐酸盐</w:t>
            </w:r>
          </w:p>
        </w:tc>
        <w:tc>
          <w:tcPr>
            <w:tcW w:w="715"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80-100</w:t>
            </w:r>
            <w:r>
              <w:rPr>
                <w:rFonts w:ascii="Times New Roman" w:hAnsi="Times New Roman" w:cs="Times New Roman" w:hint="eastAsia"/>
                <w:color w:val="000000"/>
                <w:kern w:val="0"/>
                <w:szCs w:val="21"/>
              </w:rPr>
              <w:t xml:space="preserve"> </w:t>
            </w:r>
          </w:p>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hint="eastAsia"/>
                <w:color w:val="000000"/>
                <w:kern w:val="0"/>
                <w:szCs w:val="21"/>
              </w:rPr>
              <w:t>mL</w:t>
            </w:r>
            <w:r>
              <w:rPr>
                <w:rFonts w:ascii="Times New Roman" w:hAnsi="Times New Roman" w:cs="Times New Roman"/>
                <w:color w:val="000000"/>
                <w:kern w:val="0"/>
                <w:szCs w:val="21"/>
              </w:rPr>
              <w:t>/</w:t>
            </w:r>
            <w:r>
              <w:rPr>
                <w:rFonts w:ascii="Times New Roman" w:hAnsi="Times New Roman" w:cs="Times New Roman" w:hint="eastAsia"/>
                <w:color w:val="000000"/>
                <w:kern w:val="0"/>
                <w:szCs w:val="21"/>
              </w:rPr>
              <w:t>亩</w:t>
            </w:r>
          </w:p>
        </w:tc>
        <w:tc>
          <w:tcPr>
            <w:tcW w:w="722"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喷雾</w:t>
            </w:r>
          </w:p>
        </w:tc>
        <w:tc>
          <w:tcPr>
            <w:tcW w:w="515"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7-10</w:t>
            </w:r>
          </w:p>
        </w:tc>
      </w:tr>
      <w:tr w:rsidR="003D7D4F" w:rsidTr="00193FBB">
        <w:trPr>
          <w:trHeight w:val="454"/>
          <w:jc w:val="center"/>
        </w:trPr>
        <w:tc>
          <w:tcPr>
            <w:tcW w:w="901"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hint="eastAsia"/>
                <w:color w:val="000000"/>
                <w:kern w:val="0"/>
                <w:szCs w:val="21"/>
              </w:rPr>
              <w:t>蚜虫</w:t>
            </w:r>
          </w:p>
        </w:tc>
        <w:tc>
          <w:tcPr>
            <w:tcW w:w="830"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发生期</w:t>
            </w:r>
          </w:p>
        </w:tc>
        <w:tc>
          <w:tcPr>
            <w:tcW w:w="1317"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0.3%</w:t>
            </w:r>
            <w:r>
              <w:rPr>
                <w:rFonts w:ascii="Times New Roman" w:hAnsi="Times New Roman" w:cs="Times New Roman" w:hint="eastAsia"/>
                <w:color w:val="000000"/>
                <w:kern w:val="0"/>
                <w:szCs w:val="21"/>
              </w:rPr>
              <w:t>苦参碱</w:t>
            </w:r>
          </w:p>
        </w:tc>
        <w:tc>
          <w:tcPr>
            <w:tcW w:w="715" w:type="pct"/>
            <w:vAlign w:val="center"/>
          </w:tcPr>
          <w:p w:rsidR="003D7D4F" w:rsidRDefault="00E73547">
            <w:pPr>
              <w:widowControl/>
              <w:adjustRightInd w:val="0"/>
              <w:snapToGrid w:val="0"/>
              <w:rPr>
                <w:rFonts w:ascii="Times New Roman" w:hAnsi="Times New Roman" w:cs="Times New Roman"/>
                <w:color w:val="000000"/>
                <w:kern w:val="0"/>
                <w:szCs w:val="21"/>
              </w:rPr>
            </w:pPr>
            <w:r>
              <w:rPr>
                <w:rFonts w:ascii="Times New Roman" w:hAnsi="Times New Roman" w:cs="Times New Roman"/>
                <w:color w:val="000000"/>
                <w:kern w:val="0"/>
                <w:szCs w:val="21"/>
              </w:rPr>
              <w:t>100-15</w:t>
            </w:r>
            <w:r>
              <w:rPr>
                <w:rFonts w:ascii="Times New Roman" w:hAnsi="Times New Roman" w:cs="Times New Roman" w:hint="eastAsia"/>
                <w:color w:val="000000"/>
                <w:kern w:val="0"/>
                <w:szCs w:val="21"/>
              </w:rPr>
              <w:t>g</w:t>
            </w:r>
            <w:r>
              <w:rPr>
                <w:rFonts w:ascii="Times New Roman" w:hAnsi="Times New Roman" w:cs="Times New Roman"/>
                <w:color w:val="000000"/>
                <w:kern w:val="0"/>
                <w:szCs w:val="21"/>
              </w:rPr>
              <w:t>/</w:t>
            </w:r>
            <w:r>
              <w:rPr>
                <w:rFonts w:ascii="Times New Roman" w:hAnsi="Times New Roman" w:cs="Times New Roman" w:hint="eastAsia"/>
                <w:color w:val="000000"/>
                <w:kern w:val="0"/>
                <w:szCs w:val="21"/>
              </w:rPr>
              <w:t>亩</w:t>
            </w:r>
          </w:p>
        </w:tc>
        <w:tc>
          <w:tcPr>
            <w:tcW w:w="722"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喷雾</w:t>
            </w:r>
          </w:p>
        </w:tc>
        <w:tc>
          <w:tcPr>
            <w:tcW w:w="515"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14</w:t>
            </w:r>
          </w:p>
        </w:tc>
      </w:tr>
      <w:tr w:rsidR="003D7D4F" w:rsidTr="00193FBB">
        <w:trPr>
          <w:trHeight w:val="454"/>
          <w:jc w:val="center"/>
        </w:trPr>
        <w:tc>
          <w:tcPr>
            <w:tcW w:w="901"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hint="eastAsia"/>
                <w:color w:val="000000"/>
                <w:kern w:val="0"/>
                <w:szCs w:val="21"/>
              </w:rPr>
              <w:t>斜纹夜蛾</w:t>
            </w:r>
          </w:p>
        </w:tc>
        <w:tc>
          <w:tcPr>
            <w:tcW w:w="830"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发生期</w:t>
            </w:r>
          </w:p>
        </w:tc>
        <w:tc>
          <w:tcPr>
            <w:tcW w:w="1317" w:type="pct"/>
            <w:vAlign w:val="center"/>
          </w:tcPr>
          <w:p w:rsidR="003D7D4F" w:rsidRDefault="00E73547">
            <w:pPr>
              <w:widowControl/>
              <w:adjustRightInd w:val="0"/>
              <w:snapToGrid w:val="0"/>
              <w:rPr>
                <w:rFonts w:ascii="Times New Roman" w:hAnsi="Times New Roman" w:cs="Times New Roman"/>
                <w:color w:val="000000"/>
                <w:kern w:val="0"/>
                <w:szCs w:val="21"/>
              </w:rPr>
            </w:pPr>
            <w:r>
              <w:rPr>
                <w:rFonts w:ascii="Times New Roman" w:hAnsi="Times New Roman" w:cs="Times New Roman" w:hint="eastAsia"/>
                <w:color w:val="000000"/>
                <w:kern w:val="0"/>
                <w:szCs w:val="21"/>
              </w:rPr>
              <w:t>斜纹夜蛾诱集性信息素</w:t>
            </w:r>
          </w:p>
        </w:tc>
        <w:tc>
          <w:tcPr>
            <w:tcW w:w="715"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1-3</w:t>
            </w:r>
            <w:r>
              <w:rPr>
                <w:rFonts w:ascii="Times New Roman" w:hAnsi="Times New Roman" w:cs="Times New Roman" w:hint="eastAsia"/>
                <w:color w:val="000000"/>
                <w:kern w:val="0"/>
                <w:szCs w:val="21"/>
              </w:rPr>
              <w:t>枚</w:t>
            </w:r>
            <w:r>
              <w:rPr>
                <w:rFonts w:ascii="Times New Roman" w:hAnsi="Times New Roman" w:cs="Times New Roman"/>
                <w:color w:val="000000"/>
                <w:kern w:val="0"/>
                <w:szCs w:val="21"/>
              </w:rPr>
              <w:t>/</w:t>
            </w:r>
            <w:r>
              <w:rPr>
                <w:rFonts w:ascii="Times New Roman" w:hAnsi="Times New Roman" w:cs="Times New Roman" w:hint="eastAsia"/>
                <w:color w:val="000000"/>
                <w:kern w:val="0"/>
                <w:szCs w:val="21"/>
              </w:rPr>
              <w:t>亩</w:t>
            </w:r>
          </w:p>
        </w:tc>
        <w:tc>
          <w:tcPr>
            <w:tcW w:w="722"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hint="eastAsia"/>
                <w:color w:val="000000"/>
                <w:kern w:val="0"/>
                <w:szCs w:val="21"/>
              </w:rPr>
              <w:t>诱捕</w:t>
            </w:r>
          </w:p>
        </w:tc>
        <w:tc>
          <w:tcPr>
            <w:tcW w:w="515" w:type="pct"/>
            <w:vAlign w:val="center"/>
          </w:tcPr>
          <w:p w:rsidR="003D7D4F" w:rsidRDefault="00E73547">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4-6</w:t>
            </w:r>
            <w:r>
              <w:rPr>
                <w:rFonts w:ascii="Times New Roman" w:hAnsi="Times New Roman" w:cs="Times New Roman" w:hint="eastAsia"/>
                <w:color w:val="000000"/>
                <w:kern w:val="0"/>
                <w:szCs w:val="21"/>
              </w:rPr>
              <w:t>周</w:t>
            </w:r>
          </w:p>
        </w:tc>
      </w:tr>
      <w:tr w:rsidR="003D7D4F">
        <w:trPr>
          <w:trHeight w:val="454"/>
          <w:jc w:val="center"/>
        </w:trPr>
        <w:tc>
          <w:tcPr>
            <w:tcW w:w="5000" w:type="pct"/>
            <w:gridSpan w:val="6"/>
            <w:vAlign w:val="center"/>
          </w:tcPr>
          <w:p w:rsidR="003D7D4F" w:rsidRDefault="00E73547">
            <w:pPr>
              <w:widowControl/>
              <w:adjustRightInd w:val="0"/>
              <w:snapToGrid w:val="0"/>
              <w:rPr>
                <w:rFonts w:ascii="Times New Roman" w:hAnsi="Times New Roman" w:cs="Times New Roman"/>
                <w:color w:val="000000"/>
                <w:kern w:val="0"/>
                <w:szCs w:val="21"/>
              </w:rPr>
            </w:pPr>
            <w:r>
              <w:rPr>
                <w:rFonts w:ascii="Times New Roman" w:hAnsi="Times New Roman" w:cs="Times New Roman" w:hint="eastAsia"/>
                <w:color w:val="000000"/>
                <w:kern w:val="0"/>
                <w:szCs w:val="21"/>
              </w:rPr>
              <w:t>注：农药使用应以最新版本</w:t>
            </w:r>
            <w:r>
              <w:rPr>
                <w:rFonts w:ascii="Times New Roman" w:hAnsi="Times New Roman" w:cs="Times New Roman"/>
                <w:color w:val="000000"/>
                <w:kern w:val="0"/>
                <w:szCs w:val="21"/>
              </w:rPr>
              <w:t>NY/T393</w:t>
            </w:r>
            <w:r>
              <w:rPr>
                <w:rFonts w:ascii="Times New Roman" w:hAnsi="Times New Roman" w:cs="Times New Roman" w:hint="eastAsia"/>
                <w:color w:val="000000"/>
                <w:kern w:val="0"/>
                <w:szCs w:val="21"/>
              </w:rPr>
              <w:t>的规定为准。</w:t>
            </w:r>
          </w:p>
        </w:tc>
      </w:tr>
    </w:tbl>
    <w:p w:rsidR="003D7D4F" w:rsidRDefault="003D7D4F">
      <w:pPr>
        <w:spacing w:line="400" w:lineRule="atLeast"/>
        <w:contextualSpacing/>
        <w:rPr>
          <w:rFonts w:ascii="Times New Roman" w:hAnsi="Times New Roman" w:cs="Times New Roman"/>
          <w:color w:val="FF0000"/>
          <w:szCs w:val="21"/>
        </w:rPr>
      </w:pPr>
    </w:p>
    <w:p w:rsidR="003D7D4F" w:rsidRDefault="003D7D4F">
      <w:pPr>
        <w:rPr>
          <w:rFonts w:ascii="Times New Roman" w:hAnsi="Times New Roman" w:cs="Times New Roman"/>
          <w:color w:val="FF0000"/>
          <w:szCs w:val="21"/>
        </w:rPr>
      </w:pPr>
    </w:p>
    <w:p w:rsidR="003D7D4F" w:rsidRDefault="003D7D4F">
      <w:pPr>
        <w:rPr>
          <w:rFonts w:ascii="Times New Roman" w:hAnsi="Times New Roman" w:cs="Times New Roman"/>
          <w:color w:val="FF0000"/>
          <w:szCs w:val="21"/>
        </w:rPr>
      </w:pPr>
    </w:p>
    <w:p w:rsidR="003D7D4F" w:rsidRDefault="003D7D4F">
      <w:pPr>
        <w:rPr>
          <w:rFonts w:ascii="Times New Roman" w:hAnsi="Times New Roman" w:cs="Times New Roman"/>
          <w:color w:val="FF0000"/>
          <w:szCs w:val="21"/>
        </w:rPr>
      </w:pPr>
    </w:p>
    <w:p w:rsidR="003D7D4F" w:rsidRDefault="003D7D4F">
      <w:pPr>
        <w:rPr>
          <w:rFonts w:ascii="Times New Roman" w:hAnsi="Times New Roman" w:cs="Times New Roman"/>
          <w:color w:val="FF0000"/>
          <w:szCs w:val="21"/>
        </w:rPr>
      </w:pPr>
    </w:p>
    <w:p w:rsidR="003D7D4F" w:rsidRDefault="003D7D4F">
      <w:pPr>
        <w:rPr>
          <w:rFonts w:ascii="Times New Roman" w:hAnsi="Times New Roman" w:cs="Times New Roman"/>
          <w:color w:val="FF0000"/>
          <w:szCs w:val="21"/>
        </w:rPr>
      </w:pPr>
    </w:p>
    <w:sectPr w:rsidR="003D7D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9BF" w:rsidRDefault="00D259BF" w:rsidP="003E2E97">
      <w:r>
        <w:separator/>
      </w:r>
    </w:p>
  </w:endnote>
  <w:endnote w:type="continuationSeparator" w:id="0">
    <w:p w:rsidR="00D259BF" w:rsidRDefault="00D259BF" w:rsidP="003E2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9BF" w:rsidRDefault="00D259BF" w:rsidP="003E2E97">
      <w:r>
        <w:separator/>
      </w:r>
    </w:p>
  </w:footnote>
  <w:footnote w:type="continuationSeparator" w:id="0">
    <w:p w:rsidR="00D259BF" w:rsidRDefault="00D259BF" w:rsidP="003E2E97">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TONY TANG">
    <w15:presenceInfo w15:providerId="None" w15:userId="TONY TANG"/>
  </w15:person>
  <w15:person w15:author="闫妍">
    <w15:presenceInfo w15:providerId="WPS Office" w15:userId="3227362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552"/>
    <w:rsid w:val="00085DFB"/>
    <w:rsid w:val="000D08B0"/>
    <w:rsid w:val="001040B1"/>
    <w:rsid w:val="001344D5"/>
    <w:rsid w:val="00160B9D"/>
    <w:rsid w:val="00193FBB"/>
    <w:rsid w:val="0019679E"/>
    <w:rsid w:val="0027587B"/>
    <w:rsid w:val="002D2617"/>
    <w:rsid w:val="00376155"/>
    <w:rsid w:val="003D7D4F"/>
    <w:rsid w:val="003E2E97"/>
    <w:rsid w:val="003F23E6"/>
    <w:rsid w:val="00483401"/>
    <w:rsid w:val="0057312C"/>
    <w:rsid w:val="006501F6"/>
    <w:rsid w:val="00680C5E"/>
    <w:rsid w:val="00685552"/>
    <w:rsid w:val="00687D96"/>
    <w:rsid w:val="007170DB"/>
    <w:rsid w:val="007920C2"/>
    <w:rsid w:val="00795FD5"/>
    <w:rsid w:val="00811887"/>
    <w:rsid w:val="0082260F"/>
    <w:rsid w:val="00866250"/>
    <w:rsid w:val="00866862"/>
    <w:rsid w:val="009421B4"/>
    <w:rsid w:val="00A53A46"/>
    <w:rsid w:val="00B562B0"/>
    <w:rsid w:val="00B6602D"/>
    <w:rsid w:val="00BB639B"/>
    <w:rsid w:val="00D14B4C"/>
    <w:rsid w:val="00D259BF"/>
    <w:rsid w:val="00DA5EA9"/>
    <w:rsid w:val="00E73547"/>
    <w:rsid w:val="00EC396A"/>
    <w:rsid w:val="026D049E"/>
    <w:rsid w:val="0303697D"/>
    <w:rsid w:val="034A54FA"/>
    <w:rsid w:val="048B19AC"/>
    <w:rsid w:val="04A42800"/>
    <w:rsid w:val="04E0043A"/>
    <w:rsid w:val="05E15A2F"/>
    <w:rsid w:val="061F7E41"/>
    <w:rsid w:val="06EC349C"/>
    <w:rsid w:val="07954EBE"/>
    <w:rsid w:val="07AA251D"/>
    <w:rsid w:val="07D36473"/>
    <w:rsid w:val="087F73AD"/>
    <w:rsid w:val="08CA4FFE"/>
    <w:rsid w:val="097E3E94"/>
    <w:rsid w:val="09C43680"/>
    <w:rsid w:val="0A516F86"/>
    <w:rsid w:val="0A860A2E"/>
    <w:rsid w:val="0AE43BBB"/>
    <w:rsid w:val="0B8C03C5"/>
    <w:rsid w:val="0C1D4BA6"/>
    <w:rsid w:val="0C1E069F"/>
    <w:rsid w:val="0DCC443C"/>
    <w:rsid w:val="0E7C5BAC"/>
    <w:rsid w:val="0F15043D"/>
    <w:rsid w:val="137C4EEF"/>
    <w:rsid w:val="14353448"/>
    <w:rsid w:val="146D668C"/>
    <w:rsid w:val="14A360A3"/>
    <w:rsid w:val="15251EF9"/>
    <w:rsid w:val="155E0099"/>
    <w:rsid w:val="159F3E58"/>
    <w:rsid w:val="170073B1"/>
    <w:rsid w:val="17383D10"/>
    <w:rsid w:val="1AAA1D47"/>
    <w:rsid w:val="1AEE7897"/>
    <w:rsid w:val="1B1F0D36"/>
    <w:rsid w:val="1C5344FE"/>
    <w:rsid w:val="1C932A71"/>
    <w:rsid w:val="1C98241C"/>
    <w:rsid w:val="1C9D6DC4"/>
    <w:rsid w:val="1EB74553"/>
    <w:rsid w:val="1EBA7398"/>
    <w:rsid w:val="1F932C2D"/>
    <w:rsid w:val="20C806EC"/>
    <w:rsid w:val="20F7329B"/>
    <w:rsid w:val="221004F6"/>
    <w:rsid w:val="22A54256"/>
    <w:rsid w:val="22F83C16"/>
    <w:rsid w:val="2350145F"/>
    <w:rsid w:val="2423207F"/>
    <w:rsid w:val="25680BE4"/>
    <w:rsid w:val="25B207E3"/>
    <w:rsid w:val="25C11D95"/>
    <w:rsid w:val="25CE229B"/>
    <w:rsid w:val="26D47747"/>
    <w:rsid w:val="27877CF5"/>
    <w:rsid w:val="28944ED1"/>
    <w:rsid w:val="292F12BA"/>
    <w:rsid w:val="2AE45142"/>
    <w:rsid w:val="2C14534C"/>
    <w:rsid w:val="2C8430E6"/>
    <w:rsid w:val="2E176A30"/>
    <w:rsid w:val="2F073EAE"/>
    <w:rsid w:val="31B85006"/>
    <w:rsid w:val="328E7BC8"/>
    <w:rsid w:val="32F86088"/>
    <w:rsid w:val="332B03E8"/>
    <w:rsid w:val="334611B8"/>
    <w:rsid w:val="35D174B6"/>
    <w:rsid w:val="35DB1DDD"/>
    <w:rsid w:val="35FB322E"/>
    <w:rsid w:val="377048E0"/>
    <w:rsid w:val="38E104C9"/>
    <w:rsid w:val="3904515C"/>
    <w:rsid w:val="3B566601"/>
    <w:rsid w:val="3B8D532D"/>
    <w:rsid w:val="3BA174BE"/>
    <w:rsid w:val="3C29453C"/>
    <w:rsid w:val="3C713C95"/>
    <w:rsid w:val="3CAE1EAA"/>
    <w:rsid w:val="3D632551"/>
    <w:rsid w:val="3D7B294C"/>
    <w:rsid w:val="3E06113C"/>
    <w:rsid w:val="3FB05590"/>
    <w:rsid w:val="42A31E25"/>
    <w:rsid w:val="42E211DB"/>
    <w:rsid w:val="42FD714A"/>
    <w:rsid w:val="433C0B60"/>
    <w:rsid w:val="442D545E"/>
    <w:rsid w:val="44D706E0"/>
    <w:rsid w:val="44EC06FF"/>
    <w:rsid w:val="47D43F24"/>
    <w:rsid w:val="48DD6495"/>
    <w:rsid w:val="49224147"/>
    <w:rsid w:val="49EF4870"/>
    <w:rsid w:val="4C706A65"/>
    <w:rsid w:val="4D133DC8"/>
    <w:rsid w:val="4DAF7413"/>
    <w:rsid w:val="4E177DB8"/>
    <w:rsid w:val="4E2655FA"/>
    <w:rsid w:val="4E7C5269"/>
    <w:rsid w:val="4EE3450B"/>
    <w:rsid w:val="4F22401A"/>
    <w:rsid w:val="4F3A4060"/>
    <w:rsid w:val="4FCF567C"/>
    <w:rsid w:val="502E571C"/>
    <w:rsid w:val="50A119D2"/>
    <w:rsid w:val="51863904"/>
    <w:rsid w:val="520B5275"/>
    <w:rsid w:val="52B571EC"/>
    <w:rsid w:val="53684845"/>
    <w:rsid w:val="54B17ED4"/>
    <w:rsid w:val="562E034B"/>
    <w:rsid w:val="5705119A"/>
    <w:rsid w:val="57C7423C"/>
    <w:rsid w:val="57D30A38"/>
    <w:rsid w:val="58345F63"/>
    <w:rsid w:val="58461A78"/>
    <w:rsid w:val="5B2C55A4"/>
    <w:rsid w:val="5D17782F"/>
    <w:rsid w:val="5D86338E"/>
    <w:rsid w:val="5E0637E8"/>
    <w:rsid w:val="5E260A1A"/>
    <w:rsid w:val="5EB47931"/>
    <w:rsid w:val="5F1F0ABF"/>
    <w:rsid w:val="603C5F47"/>
    <w:rsid w:val="603D3E97"/>
    <w:rsid w:val="60AF2B69"/>
    <w:rsid w:val="61A94E36"/>
    <w:rsid w:val="63343F70"/>
    <w:rsid w:val="65840E65"/>
    <w:rsid w:val="65DE5F74"/>
    <w:rsid w:val="665E4568"/>
    <w:rsid w:val="66726157"/>
    <w:rsid w:val="68396633"/>
    <w:rsid w:val="68DC596D"/>
    <w:rsid w:val="6C2D7123"/>
    <w:rsid w:val="6C312EFE"/>
    <w:rsid w:val="6C924344"/>
    <w:rsid w:val="6D416785"/>
    <w:rsid w:val="6F88398D"/>
    <w:rsid w:val="6FB916E0"/>
    <w:rsid w:val="70663889"/>
    <w:rsid w:val="72892265"/>
    <w:rsid w:val="72F57CBA"/>
    <w:rsid w:val="731D26CE"/>
    <w:rsid w:val="73AB7D69"/>
    <w:rsid w:val="73F6317F"/>
    <w:rsid w:val="74277D6F"/>
    <w:rsid w:val="74D86CC2"/>
    <w:rsid w:val="75375272"/>
    <w:rsid w:val="75636CAF"/>
    <w:rsid w:val="75BA2578"/>
    <w:rsid w:val="78500912"/>
    <w:rsid w:val="7AB83160"/>
    <w:rsid w:val="7C8E0DBB"/>
    <w:rsid w:val="7CF35AF4"/>
    <w:rsid w:val="7DA45E01"/>
    <w:rsid w:val="7F636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qFormat="1"/>
    <w:lsdException w:name="footer" w:semiHidden="0"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unhideWhenUsed/>
    <w:qFormat/>
    <w:pPr>
      <w:jc w:val="left"/>
    </w:pPr>
  </w:style>
  <w:style w:type="paragraph" w:styleId="a4">
    <w:name w:val="Balloon Text"/>
    <w:basedOn w:val="a"/>
    <w:link w:val="Char0"/>
    <w:qFormat/>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character" w:styleId="a8">
    <w:name w:val="Emphasis"/>
    <w:basedOn w:val="a0"/>
    <w:uiPriority w:val="20"/>
    <w:qFormat/>
    <w:rPr>
      <w:i/>
      <w:iCs/>
    </w:rPr>
  </w:style>
  <w:style w:type="character" w:styleId="a9">
    <w:name w:val="Hyperlink"/>
    <w:basedOn w:val="a0"/>
    <w:uiPriority w:val="99"/>
    <w:unhideWhenUsed/>
    <w:qFormat/>
    <w:rPr>
      <w:color w:val="0563C1" w:themeColor="hyperlink"/>
      <w:u w:val="single"/>
    </w:rPr>
  </w:style>
  <w:style w:type="character" w:styleId="aa">
    <w:name w:val="annotation reference"/>
    <w:basedOn w:val="a0"/>
    <w:semiHidden/>
    <w:unhideWhenUsed/>
    <w:qFormat/>
    <w:rPr>
      <w:sz w:val="21"/>
      <w:szCs w:val="21"/>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character" w:customStyle="1" w:styleId="Char0">
    <w:name w:val="批注框文本 Char"/>
    <w:basedOn w:val="a0"/>
    <w:link w:val="a4"/>
    <w:qFormat/>
    <w:rPr>
      <w:rFonts w:asciiTheme="minorHAnsi" w:eastAsiaTheme="minorEastAsia" w:hAnsiTheme="minorHAnsi" w:cstheme="minorBidi"/>
      <w:kern w:val="2"/>
      <w:sz w:val="18"/>
      <w:szCs w:val="18"/>
    </w:rPr>
  </w:style>
  <w:style w:type="character" w:customStyle="1" w:styleId="Char2">
    <w:name w:val="页眉 Char"/>
    <w:basedOn w:val="a0"/>
    <w:link w:val="a6"/>
    <w:qFormat/>
    <w:rPr>
      <w:rFonts w:asciiTheme="minorHAnsi" w:eastAsiaTheme="minorEastAsia" w:hAnsiTheme="minorHAnsi" w:cstheme="minorBidi"/>
      <w:kern w:val="2"/>
      <w:sz w:val="18"/>
      <w:szCs w:val="18"/>
    </w:rPr>
  </w:style>
  <w:style w:type="character" w:customStyle="1" w:styleId="Char1">
    <w:name w:val="页脚 Char"/>
    <w:basedOn w:val="a0"/>
    <w:link w:val="a5"/>
    <w:qFormat/>
    <w:rPr>
      <w:rFonts w:asciiTheme="minorHAnsi" w:eastAsiaTheme="minorEastAsia" w:hAnsiTheme="minorHAnsi" w:cstheme="minorBidi"/>
      <w:kern w:val="2"/>
      <w:sz w:val="18"/>
      <w:szCs w:val="18"/>
    </w:rPr>
  </w:style>
  <w:style w:type="character" w:customStyle="1" w:styleId="Char">
    <w:name w:val="批注文字 Char"/>
    <w:basedOn w:val="a0"/>
    <w:link w:val="a3"/>
    <w:semiHidden/>
    <w:qFormat/>
    <w:rPr>
      <w:rFonts w:asciiTheme="minorHAnsi" w:eastAsiaTheme="minorEastAsia" w:hAnsiTheme="minorHAnsi" w:cstheme="minorBidi"/>
      <w:kern w:val="2"/>
      <w:sz w:val="21"/>
      <w:szCs w:val="22"/>
    </w:rPr>
  </w:style>
  <w:style w:type="character" w:customStyle="1" w:styleId="Char3">
    <w:name w:val="批注主题 Char"/>
    <w:basedOn w:val="Char"/>
    <w:link w:val="a7"/>
    <w:semiHidden/>
    <w:qFormat/>
    <w:rPr>
      <w:rFonts w:asciiTheme="minorHAnsi" w:eastAsiaTheme="minorEastAsia" w:hAnsiTheme="minorHAnsi" w:cstheme="minorBidi"/>
      <w:b/>
      <w:bCs/>
      <w:kern w:val="2"/>
      <w:sz w:val="21"/>
      <w:szCs w:val="22"/>
    </w:r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 w:type="paragraph" w:customStyle="1" w:styleId="2">
    <w:name w:val="修订2"/>
    <w:hidden/>
    <w:uiPriority w:val="99"/>
    <w:semiHidden/>
    <w:qFormat/>
    <w:rPr>
      <w:rFonts w:asciiTheme="minorHAnsi" w:eastAsiaTheme="minorEastAsia" w:hAnsiTheme="minorHAnsi" w:cstheme="minorBidi"/>
      <w:kern w:val="2"/>
      <w:sz w:val="21"/>
      <w:szCs w:val="22"/>
    </w:rPr>
  </w:style>
  <w:style w:type="paragraph" w:customStyle="1" w:styleId="3">
    <w:name w:val="修订3"/>
    <w:hidden/>
    <w:uiPriority w:val="99"/>
    <w:unhideWhenUsed/>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qFormat="1"/>
    <w:lsdException w:name="footer" w:semiHidden="0"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unhideWhenUsed/>
    <w:qFormat/>
    <w:pPr>
      <w:jc w:val="left"/>
    </w:pPr>
  </w:style>
  <w:style w:type="paragraph" w:styleId="a4">
    <w:name w:val="Balloon Text"/>
    <w:basedOn w:val="a"/>
    <w:link w:val="Char0"/>
    <w:qFormat/>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character" w:styleId="a8">
    <w:name w:val="Emphasis"/>
    <w:basedOn w:val="a0"/>
    <w:uiPriority w:val="20"/>
    <w:qFormat/>
    <w:rPr>
      <w:i/>
      <w:iCs/>
    </w:rPr>
  </w:style>
  <w:style w:type="character" w:styleId="a9">
    <w:name w:val="Hyperlink"/>
    <w:basedOn w:val="a0"/>
    <w:uiPriority w:val="99"/>
    <w:unhideWhenUsed/>
    <w:qFormat/>
    <w:rPr>
      <w:color w:val="0563C1" w:themeColor="hyperlink"/>
      <w:u w:val="single"/>
    </w:rPr>
  </w:style>
  <w:style w:type="character" w:styleId="aa">
    <w:name w:val="annotation reference"/>
    <w:basedOn w:val="a0"/>
    <w:semiHidden/>
    <w:unhideWhenUsed/>
    <w:qFormat/>
    <w:rPr>
      <w:sz w:val="21"/>
      <w:szCs w:val="21"/>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character" w:customStyle="1" w:styleId="Char0">
    <w:name w:val="批注框文本 Char"/>
    <w:basedOn w:val="a0"/>
    <w:link w:val="a4"/>
    <w:qFormat/>
    <w:rPr>
      <w:rFonts w:asciiTheme="minorHAnsi" w:eastAsiaTheme="minorEastAsia" w:hAnsiTheme="minorHAnsi" w:cstheme="minorBidi"/>
      <w:kern w:val="2"/>
      <w:sz w:val="18"/>
      <w:szCs w:val="18"/>
    </w:rPr>
  </w:style>
  <w:style w:type="character" w:customStyle="1" w:styleId="Char2">
    <w:name w:val="页眉 Char"/>
    <w:basedOn w:val="a0"/>
    <w:link w:val="a6"/>
    <w:qFormat/>
    <w:rPr>
      <w:rFonts w:asciiTheme="minorHAnsi" w:eastAsiaTheme="minorEastAsia" w:hAnsiTheme="minorHAnsi" w:cstheme="minorBidi"/>
      <w:kern w:val="2"/>
      <w:sz w:val="18"/>
      <w:szCs w:val="18"/>
    </w:rPr>
  </w:style>
  <w:style w:type="character" w:customStyle="1" w:styleId="Char1">
    <w:name w:val="页脚 Char"/>
    <w:basedOn w:val="a0"/>
    <w:link w:val="a5"/>
    <w:qFormat/>
    <w:rPr>
      <w:rFonts w:asciiTheme="minorHAnsi" w:eastAsiaTheme="minorEastAsia" w:hAnsiTheme="minorHAnsi" w:cstheme="minorBidi"/>
      <w:kern w:val="2"/>
      <w:sz w:val="18"/>
      <w:szCs w:val="18"/>
    </w:rPr>
  </w:style>
  <w:style w:type="character" w:customStyle="1" w:styleId="Char">
    <w:name w:val="批注文字 Char"/>
    <w:basedOn w:val="a0"/>
    <w:link w:val="a3"/>
    <w:semiHidden/>
    <w:qFormat/>
    <w:rPr>
      <w:rFonts w:asciiTheme="minorHAnsi" w:eastAsiaTheme="minorEastAsia" w:hAnsiTheme="minorHAnsi" w:cstheme="minorBidi"/>
      <w:kern w:val="2"/>
      <w:sz w:val="21"/>
      <w:szCs w:val="22"/>
    </w:rPr>
  </w:style>
  <w:style w:type="character" w:customStyle="1" w:styleId="Char3">
    <w:name w:val="批注主题 Char"/>
    <w:basedOn w:val="Char"/>
    <w:link w:val="a7"/>
    <w:semiHidden/>
    <w:qFormat/>
    <w:rPr>
      <w:rFonts w:asciiTheme="minorHAnsi" w:eastAsiaTheme="minorEastAsia" w:hAnsiTheme="minorHAnsi" w:cstheme="minorBidi"/>
      <w:b/>
      <w:bCs/>
      <w:kern w:val="2"/>
      <w:sz w:val="21"/>
      <w:szCs w:val="22"/>
    </w:r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 w:type="paragraph" w:customStyle="1" w:styleId="2">
    <w:name w:val="修订2"/>
    <w:hidden/>
    <w:uiPriority w:val="99"/>
    <w:semiHidden/>
    <w:qFormat/>
    <w:rPr>
      <w:rFonts w:asciiTheme="minorHAnsi" w:eastAsiaTheme="minorEastAsia" w:hAnsiTheme="minorHAnsi" w:cstheme="minorBidi"/>
      <w:kern w:val="2"/>
      <w:sz w:val="21"/>
      <w:szCs w:val="22"/>
    </w:rPr>
  </w:style>
  <w:style w:type="paragraph" w:customStyle="1" w:styleId="3">
    <w:name w:val="修订3"/>
    <w:hidden/>
    <w:uiPriority w:val="99"/>
    <w:unhideWhenUsed/>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619</Words>
  <Characters>3532</Characters>
  <Application>Microsoft Office Word</Application>
  <DocSecurity>0</DocSecurity>
  <Lines>29</Lines>
  <Paragraphs>8</Paragraphs>
  <ScaleCrop>false</ScaleCrop>
  <Company>Lenovo</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TONY TANG</cp:lastModifiedBy>
  <cp:revision>14</cp:revision>
  <dcterms:created xsi:type="dcterms:W3CDTF">2021-11-23T09:24:00Z</dcterms:created>
  <dcterms:modified xsi:type="dcterms:W3CDTF">2022-04-13T07:35:00Z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234F5AF6B57C4C4E99F2D164B093EF7A</vt:lpwstr>
  </property>
</Properties>
</file>