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50A" w:rsidRDefault="00E4750A" w:rsidP="004939E1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cs="宋体"/>
          <w:sz w:val="44"/>
          <w:szCs w:val="44"/>
        </w:rPr>
      </w:pPr>
    </w:p>
    <w:p w:rsidR="00E4750A" w:rsidRDefault="00F32B1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cs="宋体"/>
          <w:sz w:val="48"/>
          <w:szCs w:val="48"/>
        </w:rPr>
      </w:pPr>
      <w:r>
        <w:rPr>
          <w:rFonts w:ascii="黑体" w:eastAsia="黑体" w:cs="宋体" w:hint="eastAsia"/>
          <w:sz w:val="48"/>
          <w:szCs w:val="48"/>
        </w:rPr>
        <w:t>绿色食品生产操作规程</w:t>
      </w:r>
    </w:p>
    <w:p w:rsidR="00E4750A" w:rsidRDefault="00F32B1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 w:hint="eastAsia"/>
          <w:sz w:val="28"/>
          <w:szCs w:val="28"/>
        </w:rPr>
        <w:t>LB/T 133-2020</w:t>
      </w:r>
    </w:p>
    <w:p w:rsidR="00E4750A" w:rsidRDefault="00594D1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/>
          <w:sz w:val="28"/>
          <w:szCs w:val="28"/>
        </w:rPr>
        <w:pict w14:anchorId="3CE8638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线连接线 2" o:spid="_x0000_s1027" type="#_x0000_t32" style="position:absolute;left:0;text-align:left;margin-left:12.6pt;margin-top:6pt;width:444.15pt;height:.1pt;z-index:251657216"/>
        </w:pict>
      </w: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cs="宋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cs="宋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F32B1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cs="黑体"/>
          <w:sz w:val="48"/>
          <w:szCs w:val="48"/>
        </w:rPr>
      </w:pPr>
      <w:r>
        <w:rPr>
          <w:rFonts w:ascii="黑体" w:eastAsia="黑体" w:cs="黑体" w:hint="eastAsia"/>
          <w:sz w:val="48"/>
          <w:szCs w:val="48"/>
        </w:rPr>
        <w:t>华南地区</w:t>
      </w:r>
    </w:p>
    <w:p w:rsidR="00E4750A" w:rsidRDefault="00E4750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/>
          <w:sz w:val="18"/>
          <w:szCs w:val="18"/>
        </w:rPr>
      </w:pPr>
    </w:p>
    <w:p w:rsidR="00E4750A" w:rsidRDefault="00F32B1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cs="黑体" w:hint="eastAsia"/>
          <w:sz w:val="48"/>
          <w:szCs w:val="48"/>
        </w:rPr>
        <w:t>绿色食品冬春甘蓝生产操作规程</w:t>
      </w: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cs="宋体"/>
          <w:sz w:val="32"/>
          <w:szCs w:val="32"/>
        </w:rPr>
      </w:pPr>
    </w:p>
    <w:p w:rsidR="00E4750A" w:rsidRDefault="00F32B1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 w:hint="eastAsia"/>
          <w:sz w:val="28"/>
          <w:szCs w:val="28"/>
        </w:rPr>
        <w:t>20</w:t>
      </w:r>
      <w:r w:rsidR="004939E1">
        <w:rPr>
          <w:rFonts w:ascii="黑体" w:eastAsia="黑体" w:cs="宋体" w:hint="eastAsia"/>
          <w:sz w:val="28"/>
          <w:szCs w:val="28"/>
        </w:rPr>
        <w:t>20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08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20</w:t>
      </w:r>
      <w:r>
        <w:rPr>
          <w:rFonts w:ascii="黑体" w:eastAsia="黑体" w:cs="宋体" w:hint="eastAsia"/>
          <w:sz w:val="28"/>
          <w:szCs w:val="28"/>
        </w:rPr>
        <w:t xml:space="preserve">发布         </w:t>
      </w:r>
      <w:r w:rsidR="004939E1">
        <w:rPr>
          <w:rFonts w:ascii="黑体" w:eastAsia="黑体" w:cs="宋体" w:hint="eastAsia"/>
          <w:sz w:val="28"/>
          <w:szCs w:val="28"/>
        </w:rPr>
        <w:t xml:space="preserve">              </w:t>
      </w:r>
      <w:r>
        <w:rPr>
          <w:rFonts w:ascii="黑体" w:eastAsia="黑体" w:cs="宋体" w:hint="eastAsia"/>
          <w:sz w:val="28"/>
          <w:szCs w:val="28"/>
        </w:rPr>
        <w:t xml:space="preserve">     20</w:t>
      </w:r>
      <w:r w:rsidR="004939E1">
        <w:rPr>
          <w:rFonts w:ascii="黑体" w:eastAsia="黑体" w:cs="宋体" w:hint="eastAsia"/>
          <w:sz w:val="28"/>
          <w:szCs w:val="28"/>
        </w:rPr>
        <w:t>20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11</w:t>
      </w:r>
      <w:r>
        <w:rPr>
          <w:rFonts w:ascii="黑体" w:eastAsia="黑体" w:cs="宋体" w:hint="eastAsia"/>
          <w:sz w:val="28"/>
          <w:szCs w:val="28"/>
        </w:rPr>
        <w:t>-</w:t>
      </w:r>
      <w:r w:rsidR="004939E1">
        <w:rPr>
          <w:rFonts w:ascii="黑体" w:eastAsia="黑体" w:cs="宋体" w:hint="eastAsia"/>
          <w:sz w:val="28"/>
          <w:szCs w:val="28"/>
        </w:rPr>
        <w:t>01</w:t>
      </w:r>
      <w:r>
        <w:rPr>
          <w:rFonts w:ascii="黑体" w:eastAsia="黑体" w:cs="宋体" w:hint="eastAsia"/>
          <w:sz w:val="28"/>
          <w:szCs w:val="28"/>
        </w:rPr>
        <w:t>实施</w:t>
      </w:r>
    </w:p>
    <w:p w:rsidR="00E4750A" w:rsidRDefault="00594D1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cs="宋体"/>
          <w:sz w:val="24"/>
          <w:szCs w:val="24"/>
        </w:rPr>
      </w:pPr>
      <w:r>
        <w:rPr>
          <w:rFonts w:ascii="黑体" w:eastAsia="黑体" w:cs="宋体"/>
          <w:sz w:val="24"/>
          <w:szCs w:val="24"/>
        </w:rPr>
        <w:pict w14:anchorId="434A41A9">
          <v:shape id="直线连接线 4" o:spid="_x0000_s1026" type="#_x0000_t32" style="position:absolute;left:0;text-align:left;margin-left:19.95pt;margin-top:9pt;width:420.65pt;height:.05pt;z-index:251658240"/>
        </w:pict>
      </w:r>
    </w:p>
    <w:p w:rsidR="00E4750A" w:rsidRDefault="00F32B1A" w:rsidP="004939E1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黑体" w:eastAsia="黑体" w:cs="宋体" w:hint="eastAsia"/>
          <w:spacing w:val="1"/>
          <w:kern w:val="0"/>
          <w:sz w:val="32"/>
          <w:szCs w:val="32"/>
        </w:rPr>
        <w:t>心</w:t>
      </w:r>
      <w:r>
        <w:rPr>
          <w:rFonts w:ascii="黑体" w:eastAsia="黑体" w:cs="宋体" w:hint="eastAsia"/>
          <w:sz w:val="28"/>
          <w:szCs w:val="28"/>
        </w:rPr>
        <w:t>发 布</w:t>
      </w: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cs="黑体"/>
          <w:sz w:val="32"/>
          <w:szCs w:val="32"/>
        </w:rPr>
        <w:sectPr w:rsidR="00E4750A">
          <w:headerReference w:type="even" r:id="rId8"/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4750A" w:rsidRDefault="00F32B1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lastRenderedPageBreak/>
        <w:t>前言</w:t>
      </w: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/>
          <w:sz w:val="32"/>
          <w:szCs w:val="32"/>
        </w:rPr>
      </w:pPr>
    </w:p>
    <w:p w:rsidR="00E4750A" w:rsidRDefault="00F32B1A">
      <w:pPr>
        <w:pStyle w:val="1"/>
        <w:spacing w:line="360" w:lineRule="auto"/>
        <w:ind w:firstLine="420"/>
        <w:jc w:val="left"/>
        <w:rPr>
          <w:rFonts w:ascii="宋体"/>
        </w:rPr>
      </w:pPr>
      <w:r>
        <w:rPr>
          <w:rFonts w:ascii="宋体" w:cs="宋体" w:hint="eastAsia"/>
        </w:rPr>
        <w:t>本规程由中国绿色食品发展中心提出并归口。</w:t>
      </w:r>
    </w:p>
    <w:p w:rsidR="00E4750A" w:rsidRDefault="00F32B1A" w:rsidP="004939E1">
      <w:pPr>
        <w:pStyle w:val="HTML"/>
        <w:widowControl/>
        <w:spacing w:beforeLines="50" w:before="156" w:afterLines="50" w:after="156" w:line="400" w:lineRule="atLeast"/>
        <w:ind w:firstLineChars="200" w:firstLine="420"/>
        <w:rPr>
          <w:rFonts w:ascii="宋体" w:cs="宋体"/>
          <w:sz w:val="21"/>
          <w:szCs w:val="21"/>
        </w:rPr>
      </w:pPr>
      <w:r>
        <w:rPr>
          <w:rFonts w:ascii="宋体" w:cs="宋体" w:hint="eastAsia"/>
          <w:sz w:val="21"/>
          <w:szCs w:val="21"/>
        </w:rPr>
        <w:t>本规程起草单位：福建省绿色食品发展中心、福建省</w:t>
      </w:r>
      <w:r>
        <w:rPr>
          <w:rFonts w:ascii="宋体" w:hint="eastAsia"/>
          <w:sz w:val="21"/>
          <w:szCs w:val="21"/>
        </w:rPr>
        <w:t>农业科学院作物研究所、</w:t>
      </w:r>
      <w:r>
        <w:rPr>
          <w:rFonts w:ascii="宋体" w:cs="宋体" w:hint="eastAsia"/>
          <w:sz w:val="21"/>
          <w:szCs w:val="21"/>
        </w:rPr>
        <w:t>广东省绿色食品发展中心、广西壮族自治区绿色食品办公室、云南省绿色食品发展中心。</w:t>
      </w:r>
    </w:p>
    <w:p w:rsidR="00E4750A" w:rsidRDefault="00F32B1A">
      <w:pPr>
        <w:pStyle w:val="1"/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cs="宋体" w:hint="eastAsia"/>
        </w:rPr>
        <w:t>本规程主要起草人：薛珠政、杨芳、周乐峰、谢秋萍、汤宇青、胡冠华、陆燕、杨永德、郑龙。</w:t>
      </w:r>
    </w:p>
    <w:p w:rsidR="00E4750A" w:rsidRDefault="00E4750A">
      <w:pPr>
        <w:pStyle w:val="1"/>
        <w:spacing w:line="360" w:lineRule="auto"/>
        <w:ind w:firstLine="420"/>
        <w:jc w:val="left"/>
        <w:rPr>
          <w:rFonts w:ascii="宋体" w:cs="宋体"/>
        </w:rPr>
      </w:pPr>
    </w:p>
    <w:p w:rsidR="00E4750A" w:rsidRDefault="00E4750A">
      <w:pPr>
        <w:pStyle w:val="1"/>
        <w:spacing w:line="360" w:lineRule="auto"/>
        <w:ind w:firstLineChars="0" w:firstLine="0"/>
        <w:jc w:val="left"/>
        <w:rPr>
          <w:rFonts w:ascii="宋体" w:cs="宋体"/>
        </w:rPr>
      </w:pPr>
    </w:p>
    <w:p w:rsidR="00E4750A" w:rsidRDefault="00E4750A" w:rsidP="004939E1">
      <w:pPr>
        <w:pStyle w:val="1"/>
        <w:spacing w:beforeLines="50" w:before="156" w:afterLines="50" w:after="156" w:line="360" w:lineRule="auto"/>
        <w:ind w:firstLine="420"/>
        <w:jc w:val="left"/>
        <w:rPr>
          <w:rFonts w:ascii="宋体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E4750A" w:rsidRDefault="00E4750A" w:rsidP="004939E1">
      <w:pPr>
        <w:pStyle w:val="1"/>
        <w:spacing w:beforeLines="50" w:before="156" w:afterLines="50" w:after="156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58510F" w:rsidRDefault="0058510F" w:rsidP="004939E1">
      <w:pPr>
        <w:pStyle w:val="1"/>
        <w:spacing w:beforeLines="50" w:before="156" w:afterLines="50" w:after="156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E4750A" w:rsidRDefault="00E4750A">
      <w:pPr>
        <w:jc w:val="center"/>
        <w:rPr>
          <w:sz w:val="28"/>
          <w:szCs w:val="28"/>
        </w:rPr>
      </w:pPr>
    </w:p>
    <w:p w:rsidR="00E4750A" w:rsidRDefault="00E4750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E4750A" w:rsidRDefault="00E4750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  <w:sectPr w:rsidR="00E4750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58510F" w:rsidRDefault="00F32B1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lastRenderedPageBreak/>
        <w:t>华南地区</w:t>
      </w:r>
    </w:p>
    <w:p w:rsidR="0058510F" w:rsidRDefault="00F32B1A" w:rsidP="004939E1">
      <w:pPr>
        <w:pStyle w:val="1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绿色食品冬春甘蓝生产操作规程</w:t>
      </w:r>
    </w:p>
    <w:p w:rsidR="00E4750A" w:rsidRDefault="00E4750A"/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ascii="宋体" w:eastAsia="宋体"/>
          <w:szCs w:val="22"/>
        </w:rPr>
      </w:pPr>
      <w:r>
        <w:rPr>
          <w:szCs w:val="22"/>
        </w:rPr>
        <w:t xml:space="preserve">1 </w:t>
      </w:r>
      <w:r>
        <w:rPr>
          <w:rFonts w:hint="eastAsia"/>
          <w:szCs w:val="22"/>
        </w:rPr>
        <w:t>范围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 w:cs="宋体"/>
          <w:szCs w:val="22"/>
        </w:rPr>
      </w:pPr>
      <w:r>
        <w:rPr>
          <w:rFonts w:ascii="宋体" w:eastAsia="宋体" w:cs="宋体" w:hint="eastAsia"/>
          <w:szCs w:val="22"/>
        </w:rPr>
        <w:t>本规程规定了</w:t>
      </w:r>
      <w:r>
        <w:rPr>
          <w:rFonts w:ascii="宋体" w:eastAsia="宋体" w:cs="宋体" w:hint="eastAsia"/>
          <w:szCs w:val="21"/>
        </w:rPr>
        <w:t>华南地区绿色食品冬春甘蓝</w:t>
      </w:r>
      <w:r>
        <w:rPr>
          <w:rFonts w:ascii="宋体" w:eastAsia="宋体" w:cs="宋体" w:hint="eastAsia"/>
          <w:szCs w:val="22"/>
        </w:rPr>
        <w:t>栽培的产地条件及茬口安排、品种及苗种选择、播种育苗、田间管理、采收、</w:t>
      </w:r>
      <w:r>
        <w:rPr>
          <w:rFonts w:ascii="宋体" w:eastAsia="宋体" w:cs="宋体" w:hint="eastAsia"/>
        </w:rPr>
        <w:t>生产废弃物的处理、包装、贮运及生产档案管理。</w:t>
      </w:r>
    </w:p>
    <w:p w:rsidR="00E4750A" w:rsidRDefault="00F32B1A">
      <w:pPr>
        <w:pStyle w:val="af0"/>
        <w:spacing w:line="400" w:lineRule="atLeast"/>
        <w:ind w:firstLine="420"/>
      </w:pPr>
      <w:r>
        <w:rPr>
          <w:rFonts w:cs="宋体" w:hint="eastAsia"/>
        </w:rPr>
        <w:t>本规程适用于福建中南部、广东省、海南省、云南省中南部及广西壮族自治区等地的冬春甘蓝的生产。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cs="黑体"/>
          <w:szCs w:val="22"/>
        </w:rPr>
      </w:pPr>
      <w:r>
        <w:rPr>
          <w:rFonts w:cs="黑体"/>
          <w:szCs w:val="22"/>
        </w:rPr>
        <w:t xml:space="preserve">2 </w:t>
      </w:r>
      <w:r>
        <w:rPr>
          <w:rFonts w:cs="黑体" w:hint="eastAsia"/>
          <w:szCs w:val="22"/>
        </w:rPr>
        <w:t>规范性引用文件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GB 16715.4</w:t>
      </w:r>
      <w:r>
        <w:rPr>
          <w:rFonts w:ascii="宋体" w:eastAsia="宋体" w:hint="eastAsia"/>
          <w:szCs w:val="22"/>
        </w:rPr>
        <w:t xml:space="preserve">  瓜菜作物种子第</w:t>
      </w:r>
      <w:r>
        <w:rPr>
          <w:rFonts w:ascii="宋体" w:eastAsia="宋体"/>
          <w:szCs w:val="22"/>
        </w:rPr>
        <w:t>4部分；甘蓝类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NY/T391</w:t>
      </w:r>
      <w:r>
        <w:rPr>
          <w:rFonts w:ascii="宋体" w:eastAsia="宋体" w:hint="eastAsia"/>
          <w:szCs w:val="22"/>
        </w:rPr>
        <w:t xml:space="preserve"> 绿色食品 产地环境质量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NY/T393</w:t>
      </w:r>
      <w:r>
        <w:rPr>
          <w:rFonts w:ascii="宋体" w:eastAsia="宋体" w:hint="eastAsia"/>
          <w:szCs w:val="22"/>
        </w:rPr>
        <w:t xml:space="preserve"> 绿色食品 农药使用准则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NY/T394</w:t>
      </w:r>
      <w:r>
        <w:rPr>
          <w:rFonts w:ascii="宋体" w:eastAsia="宋体" w:hint="eastAsia"/>
          <w:szCs w:val="22"/>
        </w:rPr>
        <w:t xml:space="preserve"> 绿色食品 肥料使用准则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NY/T658</w:t>
      </w:r>
      <w:r>
        <w:rPr>
          <w:rFonts w:ascii="宋体" w:eastAsia="宋体" w:hint="eastAsia"/>
          <w:szCs w:val="22"/>
        </w:rPr>
        <w:t xml:space="preserve"> 绿色食品 包装通用准则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NY/T746绿色食品甘蓝类蔬菜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NY/T1056</w:t>
      </w:r>
      <w:r>
        <w:rPr>
          <w:rFonts w:ascii="宋体" w:eastAsia="宋体" w:hint="eastAsia"/>
          <w:szCs w:val="22"/>
        </w:rPr>
        <w:t xml:space="preserve"> 绿色食品贮藏运输准则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/>
          <w:szCs w:val="22"/>
        </w:rPr>
        <w:t>NY/T2118</w:t>
      </w:r>
      <w:r>
        <w:rPr>
          <w:rFonts w:ascii="宋体" w:eastAsia="宋体" w:hint="eastAsia"/>
          <w:szCs w:val="22"/>
        </w:rPr>
        <w:t xml:space="preserve"> 蔬菜育苗基质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>
        <w:rPr>
          <w:szCs w:val="22"/>
        </w:rPr>
        <w:t>3术语和定义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50" w:firstLine="525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下列术语和定义适用于本标准。</w:t>
      </w:r>
    </w:p>
    <w:p w:rsidR="00E4750A" w:rsidRDefault="00F32B1A">
      <w:pPr>
        <w:pStyle w:val="af0"/>
        <w:ind w:firstLine="420"/>
      </w:pPr>
      <w:r>
        <w:rPr>
          <w:rFonts w:hint="eastAsia"/>
          <w:szCs w:val="22"/>
        </w:rPr>
        <w:t>莲座期</w:t>
      </w:r>
      <w:r>
        <w:rPr>
          <w:rFonts w:ascii="Times New Roman" w:hint="eastAsia"/>
          <w:szCs w:val="22"/>
        </w:rPr>
        <w:t>（</w:t>
      </w:r>
      <w:r>
        <w:rPr>
          <w:rFonts w:ascii="Times New Roman"/>
          <w:szCs w:val="22"/>
        </w:rPr>
        <w:t xml:space="preserve">rosette </w:t>
      </w:r>
      <w:r>
        <w:rPr>
          <w:rFonts w:ascii="Times New Roman"/>
          <w:szCs w:val="21"/>
          <w:shd w:val="clear" w:color="auto" w:fill="F9F9F9"/>
        </w:rPr>
        <w:t>period</w:t>
      </w:r>
      <w:r>
        <w:rPr>
          <w:rFonts w:ascii="Times New Roman" w:hint="eastAsia"/>
          <w:szCs w:val="22"/>
        </w:rPr>
        <w:t>）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结球前只有外叶的增加而未形成叶球的时期。</w:t>
      </w:r>
    </w:p>
    <w:p w:rsidR="00E4750A" w:rsidRDefault="00F32B1A">
      <w:pPr>
        <w:pStyle w:val="af0"/>
        <w:ind w:firstLine="420"/>
      </w:pPr>
      <w:r>
        <w:rPr>
          <w:rFonts w:hint="eastAsia"/>
          <w:szCs w:val="22"/>
        </w:rPr>
        <w:t>结球期（</w:t>
      </w:r>
      <w:r>
        <w:rPr>
          <w:rFonts w:ascii="Times New Roman"/>
          <w:szCs w:val="22"/>
        </w:rPr>
        <w:t>Balling period</w:t>
      </w:r>
      <w:r>
        <w:rPr>
          <w:rFonts w:hint="eastAsia"/>
          <w:szCs w:val="22"/>
        </w:rPr>
        <w:t>）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从开始结球到形成紧实叶球的时期。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>
        <w:rPr>
          <w:szCs w:val="22"/>
        </w:rPr>
        <w:t>4产地环境及茬口安排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rPr>
          <w:szCs w:val="22"/>
        </w:rPr>
      </w:pPr>
      <w:r>
        <w:rPr>
          <w:szCs w:val="22"/>
        </w:rPr>
        <w:t>4.1</w:t>
      </w:r>
      <w:r>
        <w:rPr>
          <w:rFonts w:hint="eastAsia"/>
          <w:szCs w:val="22"/>
        </w:rPr>
        <w:t xml:space="preserve"> 产地选择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产地环境质量应符合</w:t>
      </w:r>
      <w:r>
        <w:rPr>
          <w:rFonts w:ascii="宋体" w:eastAsia="宋体"/>
          <w:szCs w:val="22"/>
        </w:rPr>
        <w:t>NY/T391</w:t>
      </w:r>
      <w:r>
        <w:rPr>
          <w:rFonts w:ascii="宋体" w:eastAsia="宋体" w:hint="eastAsia"/>
          <w:szCs w:val="22"/>
        </w:rPr>
        <w:t>的要求。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hint="eastAsia"/>
          <w:szCs w:val="22"/>
        </w:rPr>
        <w:t>产地应选择前茬未种植过十字花科作物的土地，要求与非十字花科作物实行2</w:t>
      </w:r>
      <w:r>
        <w:rPr>
          <w:rFonts w:ascii="Times New Roman"/>
          <w:szCs w:val="22"/>
        </w:rPr>
        <w:t>~</w:t>
      </w:r>
      <w:r>
        <w:rPr>
          <w:rFonts w:ascii="宋体" w:eastAsia="宋体" w:hint="eastAsia"/>
          <w:szCs w:val="22"/>
        </w:rPr>
        <w:t>3年的轮作，或进行1</w:t>
      </w:r>
      <w:r>
        <w:rPr>
          <w:rFonts w:ascii="Times New Roman"/>
          <w:szCs w:val="22"/>
        </w:rPr>
        <w:t>~</w:t>
      </w:r>
      <w:r>
        <w:rPr>
          <w:rFonts w:ascii="宋体" w:eastAsia="宋体" w:hint="eastAsia"/>
          <w:szCs w:val="22"/>
        </w:rPr>
        <w:t>2年水旱轮作的，土壤疏松，土层深厚，通透性好，排灌便利，不受工业“三废”及农业、生活、医疗废弃物污染、生态环境良好的农业生产区域。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exact"/>
        <w:rPr>
          <w:szCs w:val="22"/>
        </w:rPr>
      </w:pPr>
      <w:r>
        <w:rPr>
          <w:szCs w:val="22"/>
        </w:rPr>
        <w:t xml:space="preserve">4.2 </w:t>
      </w:r>
      <w:r>
        <w:rPr>
          <w:rFonts w:hint="eastAsia"/>
          <w:szCs w:val="22"/>
        </w:rPr>
        <w:t>茬口安排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lastRenderedPageBreak/>
        <w:t>甘蓝喜温和冷凉气候，冬春茬甘蓝一般在</w:t>
      </w:r>
      <w:r>
        <w:rPr>
          <w:szCs w:val="22"/>
        </w:rPr>
        <w:t>9</w:t>
      </w:r>
      <w:r>
        <w:rPr>
          <w:rFonts w:hint="eastAsia"/>
          <w:szCs w:val="22"/>
        </w:rPr>
        <w:t>月至</w:t>
      </w:r>
      <w:r>
        <w:rPr>
          <w:szCs w:val="22"/>
        </w:rPr>
        <w:t>10</w:t>
      </w:r>
      <w:r>
        <w:rPr>
          <w:rFonts w:hint="eastAsia"/>
          <w:szCs w:val="22"/>
        </w:rPr>
        <w:t>月份育苗，如遇低温天气，可进行保温育苗，苗龄</w:t>
      </w:r>
      <w:r>
        <w:rPr>
          <w:szCs w:val="22"/>
        </w:rPr>
        <w:t>25</w:t>
      </w:r>
      <w:r>
        <w:rPr>
          <w:rFonts w:ascii="Times New Roman"/>
          <w:szCs w:val="22"/>
        </w:rPr>
        <w:t>~</w:t>
      </w:r>
      <w:r>
        <w:rPr>
          <w:szCs w:val="22"/>
        </w:rPr>
        <w:t>35d即可</w:t>
      </w:r>
      <w:r>
        <w:rPr>
          <w:rFonts w:hint="eastAsia"/>
          <w:szCs w:val="22"/>
        </w:rPr>
        <w:t>定植。</w:t>
      </w:r>
    </w:p>
    <w:p w:rsidR="00E4750A" w:rsidRDefault="00F32B1A">
      <w:pPr>
        <w:pStyle w:val="1"/>
        <w:spacing w:line="400" w:lineRule="atLeast"/>
        <w:ind w:firstLineChars="0" w:firstLine="0"/>
        <w:contextualSpacing/>
        <w:rPr>
          <w:rFonts w:ascii="黑体" w:eastAsia="黑体" w:cs="黑体"/>
        </w:rPr>
      </w:pPr>
      <w:r>
        <w:rPr>
          <w:rFonts w:ascii="黑体" w:eastAsia="黑体" w:cs="黑体"/>
          <w:szCs w:val="22"/>
        </w:rPr>
        <w:t xml:space="preserve">5 </w:t>
      </w:r>
      <w:r>
        <w:rPr>
          <w:rFonts w:ascii="黑体" w:eastAsia="黑体" w:cs="黑体" w:hint="eastAsia"/>
          <w:szCs w:val="22"/>
        </w:rPr>
        <w:t>品种及种苗选择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left="-1" w:firstLineChars="0" w:firstLine="0"/>
        <w:contextualSpacing/>
        <w:rPr>
          <w:rFonts w:ascii="黑体" w:eastAsia="黑体" w:cs="宋体"/>
        </w:rPr>
      </w:pPr>
      <w:r>
        <w:rPr>
          <w:rFonts w:ascii="黑体" w:eastAsia="黑体" w:cs="宋体"/>
        </w:rPr>
        <w:t>5.1</w:t>
      </w:r>
      <w:r>
        <w:rPr>
          <w:rFonts w:ascii="黑体" w:eastAsia="黑体" w:cs="宋体" w:hint="eastAsia"/>
        </w:rPr>
        <w:t xml:space="preserve"> 品种选择原则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left="-1" w:firstLine="420"/>
        <w:contextualSpacing/>
        <w:rPr>
          <w:rFonts w:ascii="宋体"/>
          <w:szCs w:val="22"/>
        </w:rPr>
      </w:pPr>
      <w:r>
        <w:rPr>
          <w:rFonts w:ascii="宋体" w:cs="宋体" w:hint="eastAsia"/>
        </w:rPr>
        <w:t>根据甘蓝种植区域和生长特点，选择适合当地生长的</w:t>
      </w:r>
      <w:r>
        <w:rPr>
          <w:rFonts w:ascii="宋体" w:hint="eastAsia"/>
          <w:szCs w:val="22"/>
        </w:rPr>
        <w:t>适应性广、抗病抗逆性强、优质、高产</w:t>
      </w:r>
      <w:r>
        <w:rPr>
          <w:rFonts w:ascii="宋体" w:cs="宋体" w:hint="eastAsia"/>
        </w:rPr>
        <w:t>品种；优先</w:t>
      </w:r>
      <w:r>
        <w:rPr>
          <w:rFonts w:ascii="宋体" w:hint="eastAsia"/>
          <w:szCs w:val="22"/>
        </w:rPr>
        <w:t>推荐选用当地自育品种。如：京丰一号甘蓝、全球甘蓝、冠军甘蓝、中甘系列结球甘蓝等。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left="-1" w:firstLineChars="0" w:firstLine="1"/>
        <w:contextualSpacing/>
        <w:rPr>
          <w:rFonts w:ascii="宋体"/>
          <w:szCs w:val="22"/>
        </w:rPr>
      </w:pPr>
      <w:r>
        <w:rPr>
          <w:rFonts w:ascii="黑体" w:eastAsia="黑体"/>
          <w:szCs w:val="22"/>
        </w:rPr>
        <w:t>5.2</w:t>
      </w:r>
      <w:r>
        <w:rPr>
          <w:rFonts w:ascii="黑体" w:eastAsia="黑体" w:hint="eastAsia"/>
          <w:szCs w:val="22"/>
        </w:rPr>
        <w:t xml:space="preserve"> 种苗选择</w:t>
      </w:r>
    </w:p>
    <w:p w:rsidR="00E4750A" w:rsidRDefault="00F32B1A">
      <w:pPr>
        <w:pStyle w:val="1"/>
        <w:tabs>
          <w:tab w:val="left" w:pos="142"/>
        </w:tabs>
        <w:spacing w:line="400" w:lineRule="atLeast"/>
        <w:ind w:firstLineChars="0" w:firstLine="0"/>
        <w:contextualSpacing/>
        <w:rPr>
          <w:rFonts w:ascii="宋体"/>
          <w:kern w:val="0"/>
          <w:szCs w:val="22"/>
        </w:rPr>
      </w:pPr>
      <w:r>
        <w:rPr>
          <w:rFonts w:ascii="宋体"/>
          <w:kern w:val="0"/>
          <w:szCs w:val="22"/>
        </w:rPr>
        <w:t>5.2.1推荐购买绿色食品产地或生产记录齐全、来源可追溯的商品苗。</w:t>
      </w:r>
    </w:p>
    <w:p w:rsidR="00E4750A" w:rsidRDefault="00F32B1A">
      <w:pPr>
        <w:pStyle w:val="af0"/>
        <w:spacing w:line="400" w:lineRule="exact"/>
        <w:ind w:firstLineChars="0" w:firstLine="0"/>
        <w:rPr>
          <w:szCs w:val="22"/>
        </w:rPr>
      </w:pPr>
      <w:r>
        <w:rPr>
          <w:szCs w:val="22"/>
        </w:rPr>
        <w:t>5.2.2</w:t>
      </w:r>
      <w:r>
        <w:rPr>
          <w:rFonts w:hint="eastAsia"/>
          <w:szCs w:val="22"/>
        </w:rPr>
        <w:t xml:space="preserve"> 生产中推荐使用穴盘育苗。</w:t>
      </w:r>
    </w:p>
    <w:p w:rsidR="00E4750A" w:rsidRDefault="00F32B1A">
      <w:pPr>
        <w:pStyle w:val="1"/>
        <w:tabs>
          <w:tab w:val="left" w:pos="0"/>
        </w:tabs>
        <w:spacing w:line="400" w:lineRule="exact"/>
        <w:ind w:left="-1" w:firstLineChars="0" w:firstLine="1"/>
        <w:rPr>
          <w:rFonts w:ascii="黑体" w:eastAsia="黑体"/>
          <w:szCs w:val="22"/>
        </w:rPr>
      </w:pPr>
      <w:r>
        <w:rPr>
          <w:rFonts w:ascii="黑体" w:eastAsia="黑体"/>
          <w:szCs w:val="22"/>
        </w:rPr>
        <w:t>6</w:t>
      </w:r>
      <w:r>
        <w:rPr>
          <w:rFonts w:ascii="黑体" w:eastAsia="黑体" w:hint="eastAsia"/>
          <w:szCs w:val="22"/>
        </w:rPr>
        <w:t xml:space="preserve"> 播种育苗</w:t>
      </w:r>
    </w:p>
    <w:p w:rsidR="00E4750A" w:rsidRDefault="00F32B1A">
      <w:pPr>
        <w:pStyle w:val="1"/>
        <w:tabs>
          <w:tab w:val="left" w:pos="0"/>
        </w:tabs>
        <w:spacing w:line="400" w:lineRule="exact"/>
        <w:ind w:left="-1" w:firstLineChars="0" w:firstLine="1"/>
        <w:rPr>
          <w:rFonts w:ascii="黑体" w:eastAsia="黑体"/>
          <w:szCs w:val="22"/>
        </w:rPr>
      </w:pPr>
      <w:r>
        <w:rPr>
          <w:rFonts w:ascii="黑体" w:eastAsia="黑体"/>
          <w:szCs w:val="22"/>
        </w:rPr>
        <w:t>6.1种子质量</w:t>
      </w:r>
    </w:p>
    <w:p w:rsidR="00E4750A" w:rsidRDefault="00F32B1A">
      <w:pPr>
        <w:pStyle w:val="af2"/>
        <w:spacing w:line="400" w:lineRule="exact"/>
        <w:ind w:firstLineChars="200" w:firstLine="420"/>
        <w:rPr>
          <w:rFonts w:ascii="宋体" w:eastAsia="宋体"/>
        </w:rPr>
      </w:pPr>
      <w:r>
        <w:rPr>
          <w:rFonts w:ascii="宋体" w:eastAsia="宋体" w:hint="eastAsia"/>
          <w:szCs w:val="22"/>
        </w:rPr>
        <w:t>种子应符合</w:t>
      </w:r>
      <w:r>
        <w:rPr>
          <w:rFonts w:ascii="宋体" w:eastAsia="宋体"/>
          <w:szCs w:val="22"/>
        </w:rPr>
        <w:t xml:space="preserve">GB 16715.4 </w:t>
      </w:r>
      <w:r>
        <w:rPr>
          <w:rFonts w:ascii="宋体" w:eastAsia="宋体" w:hint="eastAsia"/>
          <w:szCs w:val="22"/>
        </w:rPr>
        <w:t>要求。选择籽粒饱满，纯度好，发芽率高，发芽势强的种子。</w:t>
      </w:r>
    </w:p>
    <w:p w:rsidR="00E4750A" w:rsidRDefault="00F32B1A">
      <w:pPr>
        <w:pStyle w:val="af2"/>
        <w:spacing w:line="400" w:lineRule="exact"/>
      </w:pPr>
      <w:r>
        <w:t>6.2</w:t>
      </w:r>
      <w:r>
        <w:rPr>
          <w:rFonts w:hint="eastAsia"/>
        </w:rPr>
        <w:t xml:space="preserve"> 种子消毒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  <w:szCs w:val="21"/>
        </w:rPr>
        <w:t>采用温汤浸种，种子用</w:t>
      </w:r>
      <w:r>
        <w:rPr>
          <w:szCs w:val="21"/>
        </w:rPr>
        <w:t>50</w:t>
      </w:r>
      <w:r>
        <w:rPr>
          <w:rFonts w:hint="eastAsia"/>
          <w:szCs w:val="21"/>
        </w:rPr>
        <w:t>℃温水浸泡</w:t>
      </w:r>
      <w:r>
        <w:rPr>
          <w:szCs w:val="21"/>
        </w:rPr>
        <w:t>15min</w:t>
      </w:r>
      <w:r>
        <w:rPr>
          <w:rFonts w:hint="eastAsia"/>
          <w:szCs w:val="21"/>
        </w:rPr>
        <w:t>，浸种时先倒水，后放种子，并不断搅拌，轻轻搓洗后捞出待播。</w:t>
      </w:r>
    </w:p>
    <w:p w:rsidR="00E4750A" w:rsidRDefault="00F32B1A">
      <w:pPr>
        <w:pStyle w:val="af1"/>
        <w:spacing w:line="400" w:lineRule="exact"/>
      </w:pPr>
      <w:r>
        <w:t>6.3</w:t>
      </w:r>
      <w:r>
        <w:rPr>
          <w:rFonts w:hint="eastAsia"/>
        </w:rPr>
        <w:t xml:space="preserve"> 苗床准备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选择排灌良好，土壤肥沃，一年以上没有种植过十字花科蔬菜的地块做苗床。经深翻晒白后，均匀撒施商品有机肥200</w:t>
      </w:r>
      <w:r>
        <w:t>kg/</w:t>
      </w:r>
      <w:r>
        <w:rPr>
          <w:rFonts w:hint="eastAsia"/>
        </w:rPr>
        <w:t>亩和钙镁磷肥25</w:t>
      </w:r>
      <w:r>
        <w:t>kg/</w:t>
      </w:r>
      <w:r>
        <w:rPr>
          <w:rFonts w:hint="eastAsia"/>
        </w:rPr>
        <w:t>亩，浅刨整细，使肥土混合均匀，起畦做苗床。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穴盘育苗可选择72孔穴盘（孔径4.0cm×4.0cm）或128孔穴盘（孔径3.0cm×3.0cm）。基质符合</w:t>
      </w:r>
      <w:r>
        <w:t>NY/T 2118</w:t>
      </w:r>
      <w:r>
        <w:rPr>
          <w:rFonts w:hint="eastAsia"/>
        </w:rPr>
        <w:t>的规定。调节基质含水量至55%～60%，即用手紧握基质，有水从指缝渗出而不形成水滴，松手后30cm自由落体基质可散开，堆置2～3</w:t>
      </w:r>
      <w:r>
        <w:t>h</w:t>
      </w:r>
      <w:r>
        <w:rPr>
          <w:rFonts w:hint="eastAsia"/>
        </w:rPr>
        <w:t>使基质充分吸足水。将预湿好的基质装入穴盘中，穴面用刮板从穴盘的一方刮向另一方，使每个孔穴都装满基质，装盘后各个格室应能清晰可见。</w:t>
      </w:r>
    </w:p>
    <w:p w:rsidR="00E4750A" w:rsidRDefault="00F32B1A">
      <w:pPr>
        <w:pStyle w:val="af1"/>
        <w:spacing w:line="400" w:lineRule="exact"/>
      </w:pPr>
      <w:r>
        <w:rPr>
          <w:rFonts w:hint="eastAsia"/>
        </w:rPr>
        <w:t>6.4 播种</w:t>
      </w:r>
    </w:p>
    <w:p w:rsidR="00E4750A" w:rsidRDefault="00F32B1A">
      <w:pPr>
        <w:pStyle w:val="af2"/>
        <w:spacing w:line="400" w:lineRule="exact"/>
      </w:pPr>
      <w:r>
        <w:rPr>
          <w:rFonts w:hint="eastAsia"/>
        </w:rPr>
        <w:t>6.4.1 播种方法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苗床育苗采用条播方式，每隔3cm压一条1cm深的条沟，播种前浇透水，待水渗下后，将备好的种子按间隔3cm均匀播于沟内。播完后均匀盖上1cm厚的细土，上面覆盖遮阳网，并淋透水，以后每天早晚根据苗床湿度淋水一次，</w:t>
      </w:r>
      <w:r>
        <w:rPr>
          <w:rFonts w:hint="eastAsia"/>
          <w:szCs w:val="22"/>
        </w:rPr>
        <w:t>出苗前应注意保持土壤湿润。</w:t>
      </w:r>
    </w:p>
    <w:p w:rsidR="00E4750A" w:rsidRDefault="00F32B1A">
      <w:pPr>
        <w:spacing w:line="400" w:lineRule="exact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1"/>
        </w:rPr>
        <w:t>穴盘育苗，使用配套压穴板对装好基质的穴盘进行压穴，压穴深度不超过</w:t>
      </w:r>
      <w:r>
        <w:rPr>
          <w:rFonts w:ascii="宋体"/>
          <w:kern w:val="0"/>
          <w:szCs w:val="21"/>
        </w:rPr>
        <w:t>0.5-1cm，每穴播1粒种子；也可用播种机播种，将装满基质的穴盘平放在播种机的台面上，用播种机压穴、播种。播种后，再覆盖一层基质，多余基质用刮板刮去，使基质与穴盘格室相平。种子盖好后淋透水，以穴盘底部刚渗出水为宜。出苗前应注</w:t>
      </w:r>
      <w:r>
        <w:rPr>
          <w:rFonts w:ascii="宋体" w:hint="eastAsia"/>
          <w:szCs w:val="21"/>
        </w:rPr>
        <w:t>意保持基质湿润。</w:t>
      </w:r>
    </w:p>
    <w:p w:rsidR="00E4750A" w:rsidRDefault="00F32B1A">
      <w:pPr>
        <w:pStyle w:val="af2"/>
        <w:spacing w:line="400" w:lineRule="exact"/>
      </w:pPr>
      <w:r>
        <w:rPr>
          <w:rFonts w:hint="eastAsia"/>
        </w:rPr>
        <w:lastRenderedPageBreak/>
        <w:t>6.4.2 播种量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大田栽培用种量为25～</w:t>
      </w:r>
      <w:r>
        <w:t>30 g/亩</w:t>
      </w:r>
      <w:r>
        <w:rPr>
          <w:rFonts w:hint="eastAsia"/>
        </w:rPr>
        <w:t>。</w:t>
      </w:r>
    </w:p>
    <w:p w:rsidR="00E4750A" w:rsidRDefault="00F32B1A">
      <w:pPr>
        <w:pStyle w:val="af1"/>
        <w:spacing w:line="400" w:lineRule="exact"/>
      </w:pPr>
      <w:r>
        <w:t>6.5</w:t>
      </w:r>
      <w:r>
        <w:rPr>
          <w:rFonts w:hint="eastAsia"/>
        </w:rPr>
        <w:t xml:space="preserve"> 苗期管理</w:t>
      </w:r>
    </w:p>
    <w:p w:rsidR="00E4750A" w:rsidRDefault="00F32B1A">
      <w:pPr>
        <w:pStyle w:val="af0"/>
        <w:spacing w:line="400" w:lineRule="exact"/>
        <w:ind w:firstLine="420"/>
        <w:rPr>
          <w:szCs w:val="21"/>
        </w:rPr>
      </w:pPr>
      <w:r>
        <w:rPr>
          <w:rFonts w:hint="eastAsia"/>
        </w:rPr>
        <w:t>苗期应保持土壤湿润，待有70%左右种子出苗拱土时应及时去掉覆盖物。前期</w:t>
      </w:r>
      <w:r>
        <w:rPr>
          <w:rFonts w:hint="eastAsia"/>
          <w:szCs w:val="21"/>
        </w:rPr>
        <w:t>高温时可在苗床上搭平架，中午上盖遮阳网以降温，早晚揭开。</w:t>
      </w:r>
      <w:r>
        <w:rPr>
          <w:rFonts w:hint="eastAsia"/>
          <w:szCs w:val="22"/>
        </w:rPr>
        <w:t>苗期要防止幼苗徒长，根据苗床湿度确定每天浇水次数，保持土表有</w:t>
      </w:r>
      <w:r>
        <w:rPr>
          <w:szCs w:val="22"/>
        </w:rPr>
        <w:t>0.5cm</w:t>
      </w:r>
      <w:r>
        <w:rPr>
          <w:rFonts w:hint="eastAsia"/>
          <w:szCs w:val="22"/>
        </w:rPr>
        <w:t>的干燥层，</w:t>
      </w:r>
      <w:r>
        <w:rPr>
          <w:szCs w:val="22"/>
        </w:rPr>
        <w:t>0.5cm</w:t>
      </w:r>
      <w:r>
        <w:rPr>
          <w:rFonts w:hint="eastAsia"/>
          <w:szCs w:val="22"/>
        </w:rPr>
        <w:t>以下保持湿润。苗</w:t>
      </w:r>
      <w:r>
        <w:rPr>
          <w:szCs w:val="22"/>
        </w:rPr>
        <w:t>1</w:t>
      </w:r>
      <w:r>
        <w:rPr>
          <w:rFonts w:hint="eastAsia"/>
          <w:szCs w:val="21"/>
        </w:rPr>
        <w:t>～</w:t>
      </w:r>
      <w:r>
        <w:rPr>
          <w:rFonts w:hint="eastAsia"/>
          <w:szCs w:val="22"/>
        </w:rPr>
        <w:t>2片真叶时，</w:t>
      </w:r>
      <w:r>
        <w:rPr>
          <w:rFonts w:hint="eastAsia"/>
          <w:szCs w:val="21"/>
        </w:rPr>
        <w:t>覆上一层薄的细土，以防止幼苗倒伏；苗2～3片真叶时，以0.1%尿素浇施1次；苗4～5片真叶时即可移栽大田，</w:t>
      </w:r>
      <w:r w:rsidR="008A7BED" w:rsidRPr="008A7BED">
        <w:rPr>
          <w:rFonts w:hint="eastAsia"/>
          <w:szCs w:val="21"/>
        </w:rPr>
        <w:t>移栽前1～2d，喷50%多菌灵600～800倍液或80%代森锰锌800倍1次。</w:t>
      </w:r>
    </w:p>
    <w:p w:rsidR="00E4750A" w:rsidRDefault="008A7BED">
      <w:pPr>
        <w:pStyle w:val="af0"/>
        <w:spacing w:line="400" w:lineRule="exact"/>
        <w:ind w:firstLine="420"/>
        <w:rPr>
          <w:szCs w:val="21"/>
        </w:rPr>
      </w:pPr>
      <w:r w:rsidRPr="008A7BED">
        <w:rPr>
          <w:rFonts w:hint="eastAsia"/>
          <w:szCs w:val="21"/>
        </w:rPr>
        <w:t>穴盘育苗，播种结束后，将穴盘堆码放置在催芽室，检查种子已经发芽后，将穴盘转移至育苗棚内，出苗后根据天气情况浇水，保持基质潮湿，一般</w:t>
      </w:r>
      <w:r w:rsidRPr="008A7BED">
        <w:rPr>
          <w:szCs w:val="21"/>
        </w:rPr>
        <w:t>4</w:t>
      </w:r>
      <w:r w:rsidRPr="008A7BED">
        <w:rPr>
          <w:rFonts w:hint="eastAsia"/>
          <w:szCs w:val="21"/>
        </w:rPr>
        <w:t>～6d可全部出苗。齐苗后根据苗情，可用0.1%尿素浇施1～2次肥料。当苗4片可见叶时，不再追肥，进入炼苗期，可适度控制水肥。</w:t>
      </w:r>
    </w:p>
    <w:p w:rsidR="00E4750A" w:rsidRDefault="008A7BED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 w:rsidRPr="008A7BED">
        <w:rPr>
          <w:szCs w:val="21"/>
        </w:rPr>
        <w:t>7</w:t>
      </w:r>
      <w:r w:rsidRPr="008A7BED">
        <w:rPr>
          <w:rFonts w:hint="eastAsia"/>
          <w:szCs w:val="22"/>
        </w:rPr>
        <w:t>定植管理</w:t>
      </w:r>
    </w:p>
    <w:p w:rsidR="00E4750A" w:rsidRDefault="008A7BED">
      <w:pPr>
        <w:pStyle w:val="a"/>
        <w:numPr>
          <w:ilvl w:val="0"/>
          <w:numId w:val="0"/>
        </w:numPr>
        <w:spacing w:beforeLines="0" w:afterLines="0" w:line="400" w:lineRule="exact"/>
        <w:rPr>
          <w:szCs w:val="22"/>
        </w:rPr>
      </w:pPr>
      <w:r w:rsidRPr="008A7BED">
        <w:rPr>
          <w:szCs w:val="22"/>
        </w:rPr>
        <w:t xml:space="preserve">7.1 </w:t>
      </w:r>
      <w:r w:rsidRPr="008A7BED">
        <w:rPr>
          <w:rFonts w:hint="eastAsia"/>
          <w:szCs w:val="22"/>
        </w:rPr>
        <w:t>整畦施基肥</w:t>
      </w:r>
    </w:p>
    <w:p w:rsidR="00E4750A" w:rsidRDefault="008A7BED">
      <w:pPr>
        <w:pStyle w:val="af0"/>
        <w:spacing w:line="400" w:lineRule="exact"/>
        <w:ind w:firstLine="420"/>
        <w:rPr>
          <w:szCs w:val="22"/>
        </w:rPr>
      </w:pPr>
      <w:r w:rsidRPr="008A7BED">
        <w:rPr>
          <w:rFonts w:hint="eastAsia"/>
          <w:szCs w:val="22"/>
        </w:rPr>
        <w:t>结合整畦，酸性较强（pH≦5.5）土壤（黄红壤）在整畦时每亩施入</w:t>
      </w:r>
      <w:r w:rsidRPr="008A7BED">
        <w:rPr>
          <w:szCs w:val="22"/>
        </w:rPr>
        <w:t>100</w:t>
      </w:r>
      <w:r w:rsidRPr="008A7BED">
        <w:rPr>
          <w:rFonts w:hint="eastAsia"/>
          <w:szCs w:val="21"/>
        </w:rPr>
        <w:t>～</w:t>
      </w:r>
      <w:r w:rsidRPr="008A7BED">
        <w:rPr>
          <w:szCs w:val="22"/>
        </w:rPr>
        <w:t>150kg</w:t>
      </w:r>
      <w:r w:rsidRPr="008A7BED">
        <w:rPr>
          <w:rFonts w:hint="eastAsia"/>
          <w:szCs w:val="22"/>
        </w:rPr>
        <w:t>的石灰，</w:t>
      </w:r>
      <w:r w:rsidR="00F32B1A">
        <w:rPr>
          <w:rFonts w:hint="eastAsia"/>
          <w:szCs w:val="22"/>
        </w:rPr>
        <w:t>调节土壤</w:t>
      </w:r>
      <w:r w:rsidR="00F32B1A">
        <w:rPr>
          <w:szCs w:val="22"/>
        </w:rPr>
        <w:t>pH</w:t>
      </w:r>
      <w:r w:rsidR="00F32B1A">
        <w:rPr>
          <w:rFonts w:hint="eastAsia"/>
          <w:szCs w:val="22"/>
        </w:rPr>
        <w:t>至</w:t>
      </w:r>
      <w:r w:rsidR="00F32B1A">
        <w:rPr>
          <w:szCs w:val="22"/>
        </w:rPr>
        <w:t>6.0</w:t>
      </w:r>
      <w:r w:rsidR="00F32B1A">
        <w:rPr>
          <w:rFonts w:hint="eastAsia"/>
          <w:szCs w:val="21"/>
        </w:rPr>
        <w:t>～</w:t>
      </w:r>
      <w:r w:rsidR="00F32B1A">
        <w:rPr>
          <w:szCs w:val="22"/>
        </w:rPr>
        <w:t>7.0</w:t>
      </w:r>
      <w:r w:rsidR="00F32B1A">
        <w:rPr>
          <w:rFonts w:hint="eastAsia"/>
          <w:szCs w:val="22"/>
        </w:rPr>
        <w:t>，深耕晒垡。撒施商品有机肥</w:t>
      </w:r>
      <w:r w:rsidR="00F32B1A">
        <w:rPr>
          <w:szCs w:val="22"/>
        </w:rPr>
        <w:t>300</w:t>
      </w:r>
      <w:r w:rsidR="00F32B1A">
        <w:t>kg/亩</w:t>
      </w:r>
      <w:r w:rsidR="00F32B1A">
        <w:rPr>
          <w:rFonts w:hint="eastAsia"/>
          <w:szCs w:val="22"/>
        </w:rPr>
        <w:t>、钙镁磷肥</w:t>
      </w:r>
      <w:r w:rsidR="00F32B1A">
        <w:rPr>
          <w:szCs w:val="22"/>
        </w:rPr>
        <w:t>20</w:t>
      </w:r>
      <w:r w:rsidR="00F32B1A">
        <w:t>kg/</w:t>
      </w:r>
      <w:r w:rsidR="00F32B1A">
        <w:rPr>
          <w:rFonts w:hint="eastAsia"/>
        </w:rPr>
        <w:t>亩</w:t>
      </w:r>
      <w:r w:rsidR="00F32B1A">
        <w:rPr>
          <w:rFonts w:hint="eastAsia"/>
          <w:szCs w:val="22"/>
        </w:rPr>
        <w:t>和三元复合肥（</w:t>
      </w:r>
      <w:r w:rsidR="00F32B1A">
        <w:rPr>
          <w:szCs w:val="22"/>
        </w:rPr>
        <w:t>N: P</w:t>
      </w:r>
      <w:r w:rsidR="00F32B1A">
        <w:rPr>
          <w:szCs w:val="22"/>
          <w:vertAlign w:val="subscript"/>
        </w:rPr>
        <w:t>2</w:t>
      </w:r>
      <w:r w:rsidR="00F32B1A">
        <w:rPr>
          <w:szCs w:val="22"/>
        </w:rPr>
        <w:t>O</w:t>
      </w:r>
      <w:r w:rsidR="00F32B1A">
        <w:rPr>
          <w:szCs w:val="22"/>
          <w:vertAlign w:val="subscript"/>
        </w:rPr>
        <w:t>5</w:t>
      </w:r>
      <w:r w:rsidR="00F32B1A">
        <w:rPr>
          <w:szCs w:val="22"/>
        </w:rPr>
        <w:t>:K</w:t>
      </w:r>
      <w:r w:rsidR="00F32B1A">
        <w:rPr>
          <w:szCs w:val="22"/>
          <w:vertAlign w:val="subscript"/>
        </w:rPr>
        <w:t>2</w:t>
      </w:r>
      <w:r w:rsidR="00F32B1A">
        <w:rPr>
          <w:szCs w:val="22"/>
        </w:rPr>
        <w:t>O=15:15:15）20</w:t>
      </w:r>
      <w:r w:rsidR="00F32B1A">
        <w:t xml:space="preserve"> kg/</w:t>
      </w:r>
      <w:r w:rsidR="00F32B1A">
        <w:rPr>
          <w:rFonts w:hint="eastAsia"/>
        </w:rPr>
        <w:t>亩</w:t>
      </w:r>
      <w:r w:rsidR="00F32B1A">
        <w:rPr>
          <w:rFonts w:hint="eastAsia"/>
          <w:szCs w:val="22"/>
        </w:rPr>
        <w:t>。深翻约</w:t>
      </w:r>
      <w:r w:rsidR="00F32B1A">
        <w:rPr>
          <w:szCs w:val="22"/>
        </w:rPr>
        <w:t>30</w:t>
      </w:r>
      <w:r w:rsidR="00F32B1A">
        <w:t>cm</w:t>
      </w:r>
      <w:r w:rsidR="00F32B1A">
        <w:rPr>
          <w:rFonts w:hint="eastAsia"/>
          <w:szCs w:val="22"/>
        </w:rPr>
        <w:t>，按畦带沟宽</w:t>
      </w:r>
      <w:r w:rsidR="00F32B1A">
        <w:rPr>
          <w:szCs w:val="22"/>
        </w:rPr>
        <w:t>130</w:t>
      </w:r>
      <w:r w:rsidR="00F32B1A">
        <w:rPr>
          <w:rFonts w:hint="eastAsia"/>
          <w:szCs w:val="22"/>
        </w:rPr>
        <w:t>～</w:t>
      </w:r>
      <w:r w:rsidR="00F32B1A">
        <w:rPr>
          <w:szCs w:val="22"/>
        </w:rPr>
        <w:t>135</w:t>
      </w:r>
      <w:r w:rsidR="00F32B1A">
        <w:t>cm</w:t>
      </w:r>
      <w:r w:rsidR="00F32B1A">
        <w:rPr>
          <w:rFonts w:hint="eastAsia"/>
          <w:szCs w:val="22"/>
        </w:rPr>
        <w:t>做</w:t>
      </w:r>
      <w:r w:rsidR="00F32B1A">
        <w:rPr>
          <w:rFonts w:hint="eastAsia"/>
        </w:rPr>
        <w:t>龟背型高畦</w:t>
      </w:r>
      <w:r w:rsidR="00F32B1A">
        <w:rPr>
          <w:rFonts w:hint="eastAsia"/>
          <w:szCs w:val="22"/>
        </w:rPr>
        <w:t>，畦高约</w:t>
      </w:r>
      <w:r w:rsidR="00F32B1A">
        <w:rPr>
          <w:szCs w:val="22"/>
        </w:rPr>
        <w:t>30</w:t>
      </w:r>
      <w:r w:rsidR="00F32B1A">
        <w:t>cm</w:t>
      </w:r>
      <w:r w:rsidR="00F32B1A">
        <w:rPr>
          <w:rFonts w:hint="eastAsia"/>
          <w:szCs w:val="22"/>
        </w:rPr>
        <w:t>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7.2</w:t>
      </w:r>
      <w:r>
        <w:rPr>
          <w:rFonts w:hint="eastAsia"/>
        </w:rPr>
        <w:t xml:space="preserve"> 定植方法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ascii="Calibri" w:hAnsi="Calibri" w:hint="eastAsia"/>
          <w:kern w:val="2"/>
          <w:szCs w:val="22"/>
        </w:rPr>
        <w:t>选择壮苗，在午后阳光柔和时进行定植，定植后浇足定根水，及时查苗补苗。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7.3</w:t>
      </w:r>
      <w:r>
        <w:rPr>
          <w:rFonts w:hint="eastAsia"/>
        </w:rPr>
        <w:t xml:space="preserve"> 定植密度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根据品种特性、气候条件和土壤肥力，一般采用双行定植，中熟品种定植</w:t>
      </w:r>
      <w:r>
        <w:rPr>
          <w:szCs w:val="22"/>
        </w:rPr>
        <w:t>3000</w:t>
      </w:r>
      <w:r>
        <w:rPr>
          <w:rFonts w:hint="eastAsia"/>
          <w:szCs w:val="22"/>
        </w:rPr>
        <w:t>～</w:t>
      </w:r>
      <w:r>
        <w:rPr>
          <w:szCs w:val="22"/>
        </w:rPr>
        <w:t>4000株/</w:t>
      </w:r>
      <w:r>
        <w:t>亩</w:t>
      </w:r>
      <w:r>
        <w:rPr>
          <w:rFonts w:hint="eastAsia"/>
          <w:szCs w:val="22"/>
        </w:rPr>
        <w:t>，晚熟品种定植</w:t>
      </w:r>
      <w:r>
        <w:rPr>
          <w:szCs w:val="22"/>
        </w:rPr>
        <w:t>2800</w:t>
      </w:r>
      <w:r>
        <w:rPr>
          <w:rFonts w:hint="eastAsia"/>
          <w:szCs w:val="22"/>
        </w:rPr>
        <w:t>～</w:t>
      </w:r>
      <w:r>
        <w:rPr>
          <w:szCs w:val="22"/>
        </w:rPr>
        <w:t>3000株/</w:t>
      </w:r>
      <w:r>
        <w:t>亩</w:t>
      </w:r>
      <w:r>
        <w:rPr>
          <w:rFonts w:hint="eastAsia"/>
          <w:szCs w:val="22"/>
        </w:rPr>
        <w:t>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</w:t>
      </w:r>
      <w:r>
        <w:rPr>
          <w:rFonts w:hint="eastAsia"/>
        </w:rPr>
        <w:t xml:space="preserve"> 水肥管理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 xml:space="preserve">8.1 </w:t>
      </w:r>
      <w:r>
        <w:rPr>
          <w:rFonts w:hint="eastAsia"/>
        </w:rPr>
        <w:t xml:space="preserve"> 水</w:t>
      </w:r>
      <w:r>
        <w:t>分</w:t>
      </w:r>
      <w:r>
        <w:rPr>
          <w:rFonts w:hint="eastAsia"/>
        </w:rPr>
        <w:t>管理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甘蓝种植密度大，植株较为旺盛，需水量较大，整个生育期应保持土壤湿润。定植后每天早晚浇水一次，缓苗后结合浇肥补充水分。中耕及浇肥时，土壤应保持稍干燥，以便于达到中耕除草的效果及肥料吸收。遇强降雨或雨水过多，要及时清沟排水；田间湿度过大，下部叶片黄化落叶，根及茎部易腐烂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</w:t>
      </w:r>
      <w:r>
        <w:rPr>
          <w:rFonts w:hint="eastAsia"/>
        </w:rPr>
        <w:t xml:space="preserve"> 施肥管理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ascii="宋体" w:eastAsia="宋体"/>
          <w:szCs w:val="22"/>
        </w:rPr>
      </w:pPr>
      <w:r>
        <w:rPr>
          <w:rFonts w:cs="黑体"/>
          <w:szCs w:val="22"/>
        </w:rPr>
        <w:t>8.2.1施肥原则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ind w:firstLineChars="200" w:firstLine="420"/>
      </w:pPr>
      <w:r>
        <w:rPr>
          <w:rFonts w:ascii="宋体" w:eastAsia="宋体" w:cs="宋体"/>
          <w:szCs w:val="22"/>
        </w:rPr>
        <w:t>以有机肥为主，化肥为辅，</w:t>
      </w:r>
      <w:r>
        <w:rPr>
          <w:rFonts w:ascii="宋体" w:eastAsia="宋体" w:cs="宋体" w:hint="eastAsia"/>
          <w:kern w:val="36"/>
          <w:szCs w:val="21"/>
        </w:rPr>
        <w:t>减量施用化肥，</w:t>
      </w:r>
      <w:r>
        <w:rPr>
          <w:rFonts w:ascii="宋体" w:eastAsia="宋体" w:cs="宋体" w:hint="eastAsia"/>
          <w:szCs w:val="22"/>
        </w:rPr>
        <w:t>有机肥无机肥结合施用；以施足基肥为主，适当看苗追肥为辅。肥料的选择和使用应符合</w:t>
      </w:r>
      <w:r>
        <w:rPr>
          <w:rFonts w:ascii="宋体" w:eastAsia="宋体" w:cs="宋体"/>
          <w:szCs w:val="22"/>
        </w:rPr>
        <w:t xml:space="preserve">NY/T 394 </w:t>
      </w:r>
      <w:r>
        <w:rPr>
          <w:rFonts w:ascii="宋体" w:eastAsia="宋体" w:cs="宋体" w:hint="eastAsia"/>
          <w:szCs w:val="22"/>
        </w:rPr>
        <w:t>的要求。按亩产</w:t>
      </w:r>
      <w:r>
        <w:rPr>
          <w:rFonts w:ascii="宋体" w:eastAsia="宋体" w:cs="宋体"/>
          <w:szCs w:val="22"/>
        </w:rPr>
        <w:t>1000kg需纯氮（N）</w:t>
      </w:r>
      <w:r>
        <w:rPr>
          <w:rFonts w:ascii="宋体" w:eastAsia="宋体" w:cs="宋体"/>
          <w:szCs w:val="22"/>
        </w:rPr>
        <w:lastRenderedPageBreak/>
        <w:t>3kg、磷（P</w:t>
      </w:r>
      <w:r>
        <w:rPr>
          <w:rFonts w:ascii="宋体" w:eastAsia="宋体" w:cs="宋体"/>
          <w:szCs w:val="22"/>
          <w:vertAlign w:val="subscript"/>
        </w:rPr>
        <w:t>2</w:t>
      </w:r>
      <w:r>
        <w:rPr>
          <w:rFonts w:ascii="宋体" w:eastAsia="宋体" w:cs="宋体"/>
          <w:szCs w:val="22"/>
        </w:rPr>
        <w:t>O</w:t>
      </w:r>
      <w:r>
        <w:rPr>
          <w:rFonts w:ascii="宋体" w:eastAsia="宋体" w:cs="宋体"/>
          <w:szCs w:val="22"/>
          <w:vertAlign w:val="subscript"/>
        </w:rPr>
        <w:t>5</w:t>
      </w:r>
      <w:r>
        <w:rPr>
          <w:rFonts w:ascii="宋体" w:eastAsia="宋体" w:cs="宋体" w:hint="eastAsia"/>
          <w:szCs w:val="22"/>
        </w:rPr>
        <w:t>）</w:t>
      </w:r>
      <w:r>
        <w:rPr>
          <w:rFonts w:ascii="宋体" w:eastAsia="宋体" w:cs="宋体"/>
          <w:szCs w:val="22"/>
        </w:rPr>
        <w:t>1kg、钾（K</w:t>
      </w:r>
      <w:r>
        <w:rPr>
          <w:rFonts w:ascii="宋体" w:eastAsia="宋体" w:cs="宋体"/>
          <w:szCs w:val="22"/>
          <w:vertAlign w:val="subscript"/>
        </w:rPr>
        <w:t>2</w:t>
      </w:r>
      <w:r>
        <w:rPr>
          <w:rFonts w:ascii="宋体" w:eastAsia="宋体" w:cs="宋体"/>
          <w:szCs w:val="22"/>
        </w:rPr>
        <w:t>O）4kg肥料的方式计算，采用当地测土配方施肥技术</w:t>
      </w:r>
      <w:r>
        <w:rPr>
          <w:rFonts w:ascii="宋体" w:eastAsia="宋体" w:cs="宋体" w:hint="eastAsia"/>
          <w:szCs w:val="22"/>
        </w:rPr>
        <w:t>，做到氮、磷、钾及中、微量元素合理搭配。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8.2.2</w:t>
      </w:r>
      <w:r>
        <w:rPr>
          <w:rFonts w:hint="eastAsia"/>
        </w:rPr>
        <w:t xml:space="preserve"> 缓苗期施肥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1"/>
        </w:rPr>
        <w:t>定植</w:t>
      </w:r>
      <w:r>
        <w:rPr>
          <w:szCs w:val="21"/>
        </w:rPr>
        <w:t>7</w:t>
      </w:r>
      <w:r>
        <w:rPr>
          <w:rFonts w:hint="eastAsia"/>
          <w:szCs w:val="21"/>
        </w:rPr>
        <w:t>～</w:t>
      </w:r>
      <w:r>
        <w:rPr>
          <w:szCs w:val="21"/>
        </w:rPr>
        <w:t>10d</w:t>
      </w:r>
      <w:r>
        <w:rPr>
          <w:rFonts w:hint="eastAsia"/>
          <w:szCs w:val="21"/>
        </w:rPr>
        <w:t>后，浇施浓度约为</w:t>
      </w:r>
      <w:r>
        <w:rPr>
          <w:szCs w:val="21"/>
        </w:rPr>
        <w:t>0.3%</w:t>
      </w:r>
      <w:r>
        <w:rPr>
          <w:rFonts w:hint="eastAsia"/>
          <w:szCs w:val="21"/>
        </w:rPr>
        <w:t>尿素作为提苗肥（用量</w:t>
      </w:r>
      <w:r>
        <w:rPr>
          <w:szCs w:val="21"/>
        </w:rPr>
        <w:t>4kg/亩</w:t>
      </w:r>
      <w:r>
        <w:rPr>
          <w:rFonts w:hint="eastAsia"/>
          <w:szCs w:val="21"/>
        </w:rPr>
        <w:t>），可根据田间水分情况适度浇水，实现根际“见干见湿”，促进根系生长。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8.2.3</w:t>
      </w:r>
      <w:r>
        <w:rPr>
          <w:rFonts w:hint="eastAsia"/>
        </w:rPr>
        <w:t xml:space="preserve"> 莲座期施肥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1"/>
        </w:rPr>
        <w:t>进入莲座期，应确保水肥均匀，及时补充水肥，形成强壮株型，确保球形正常生长，施用三元复合肥（</w:t>
      </w:r>
      <w:r>
        <w:rPr>
          <w:szCs w:val="21"/>
        </w:rPr>
        <w:t>N: P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5</w:t>
      </w:r>
      <w:r>
        <w:rPr>
          <w:szCs w:val="21"/>
        </w:rPr>
        <w:t>:K</w:t>
      </w:r>
      <w:r>
        <w:rPr>
          <w:szCs w:val="21"/>
          <w:vertAlign w:val="subscript"/>
        </w:rPr>
        <w:t>2</w:t>
      </w:r>
      <w:r>
        <w:rPr>
          <w:szCs w:val="21"/>
        </w:rPr>
        <w:t>O=15:15:15</w:t>
      </w:r>
      <w:r>
        <w:rPr>
          <w:rFonts w:hint="eastAsia"/>
          <w:szCs w:val="21"/>
        </w:rPr>
        <w:t>）</w:t>
      </w:r>
      <w:r>
        <w:rPr>
          <w:szCs w:val="21"/>
        </w:rPr>
        <w:t>25kg/</w:t>
      </w:r>
      <w:r>
        <w:rPr>
          <w:rFonts w:hint="eastAsia"/>
          <w:szCs w:val="21"/>
        </w:rPr>
        <w:t>亩和尿素</w:t>
      </w:r>
      <w:r>
        <w:rPr>
          <w:szCs w:val="21"/>
        </w:rPr>
        <w:t>10kg/</w:t>
      </w:r>
      <w:r>
        <w:rPr>
          <w:rFonts w:hint="eastAsia"/>
          <w:szCs w:val="21"/>
        </w:rPr>
        <w:t>亩。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8.2.4</w:t>
      </w:r>
      <w:r>
        <w:rPr>
          <w:rFonts w:hint="eastAsia"/>
        </w:rPr>
        <w:t xml:space="preserve"> 结球期施肥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结球中期结合浇水追施三元复合肥（</w:t>
      </w:r>
      <w:r>
        <w:rPr>
          <w:szCs w:val="22"/>
        </w:rPr>
        <w:t>N: P</w:t>
      </w:r>
      <w:r>
        <w:rPr>
          <w:szCs w:val="22"/>
          <w:vertAlign w:val="subscript"/>
        </w:rPr>
        <w:t>2</w:t>
      </w:r>
      <w:r>
        <w:rPr>
          <w:szCs w:val="22"/>
        </w:rPr>
        <w:t>O</w:t>
      </w:r>
      <w:r>
        <w:rPr>
          <w:szCs w:val="22"/>
          <w:vertAlign w:val="subscript"/>
        </w:rPr>
        <w:t>5</w:t>
      </w:r>
      <w:r>
        <w:rPr>
          <w:szCs w:val="22"/>
        </w:rPr>
        <w:t>:K</w:t>
      </w:r>
      <w:r>
        <w:rPr>
          <w:szCs w:val="22"/>
          <w:vertAlign w:val="subscript"/>
        </w:rPr>
        <w:t>2</w:t>
      </w:r>
      <w:r>
        <w:rPr>
          <w:szCs w:val="22"/>
        </w:rPr>
        <w:t>O=15:15:15）30</w:t>
      </w:r>
      <w:r>
        <w:rPr>
          <w:rFonts w:hint="eastAsia"/>
          <w:szCs w:val="22"/>
        </w:rPr>
        <w:t>～</w:t>
      </w:r>
      <w:r>
        <w:rPr>
          <w:szCs w:val="22"/>
        </w:rPr>
        <w:t>40</w:t>
      </w:r>
      <w:r>
        <w:t>kg/</w:t>
      </w:r>
      <w:r>
        <w:rPr>
          <w:rFonts w:hint="eastAsia"/>
        </w:rPr>
        <w:t>亩</w:t>
      </w:r>
      <w:r>
        <w:rPr>
          <w:rFonts w:hint="eastAsia"/>
          <w:szCs w:val="22"/>
        </w:rPr>
        <w:t>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</w:pPr>
      <w:r>
        <w:t>8.3</w:t>
      </w:r>
      <w:r>
        <w:rPr>
          <w:rFonts w:hint="eastAsia"/>
        </w:rPr>
        <w:t xml:space="preserve"> 中耕除草</w:t>
      </w:r>
    </w:p>
    <w:p w:rsidR="00E4750A" w:rsidRDefault="00F32B1A">
      <w:pPr>
        <w:pStyle w:val="af0"/>
        <w:spacing w:line="400" w:lineRule="exact"/>
        <w:ind w:firstLine="420"/>
        <w:rPr>
          <w:szCs w:val="22"/>
        </w:rPr>
      </w:pPr>
      <w:r>
        <w:rPr>
          <w:rFonts w:hint="eastAsia"/>
          <w:szCs w:val="22"/>
        </w:rPr>
        <w:t>封行前中耕除草</w:t>
      </w:r>
      <w:r>
        <w:rPr>
          <w:szCs w:val="22"/>
        </w:rPr>
        <w:t>1～2次，并结合</w:t>
      </w:r>
      <w:r>
        <w:rPr>
          <w:rFonts w:hint="eastAsia"/>
          <w:szCs w:val="22"/>
        </w:rPr>
        <w:t>中耕进行培土。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szCs w:val="22"/>
        </w:rPr>
      </w:pPr>
      <w:r>
        <w:rPr>
          <w:bCs/>
          <w:szCs w:val="22"/>
        </w:rPr>
        <w:t>9病虫害防治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rFonts w:cs="黑体"/>
          <w:bCs/>
          <w:szCs w:val="21"/>
        </w:rPr>
      </w:pPr>
      <w:r>
        <w:rPr>
          <w:bCs/>
          <w:szCs w:val="22"/>
        </w:rPr>
        <w:t>9</w:t>
      </w:r>
      <w:r>
        <w:rPr>
          <w:bCs/>
          <w:szCs w:val="21"/>
        </w:rPr>
        <w:t>.1</w:t>
      </w:r>
      <w:r>
        <w:rPr>
          <w:rFonts w:cs="黑体" w:hint="eastAsia"/>
          <w:bCs/>
          <w:szCs w:val="21"/>
        </w:rPr>
        <w:t>防治原则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按照“预防为主，综合防治”的植保方针，坚持“农业、物理、生物防治为主，化学防治为辅”的防治原则。</w:t>
      </w:r>
      <w:r>
        <w:rPr>
          <w:rFonts w:cs="仿宋_GB2312" w:hint="eastAsia"/>
          <w:kern w:val="36"/>
          <w:szCs w:val="21"/>
        </w:rPr>
        <w:t>推广绿色防控技术，</w:t>
      </w:r>
      <w:r>
        <w:rPr>
          <w:rFonts w:hint="eastAsia"/>
          <w:szCs w:val="22"/>
        </w:rPr>
        <w:t>病虫害危害造成较大影响时辅以化学防治，农</w:t>
      </w:r>
      <w:r>
        <w:rPr>
          <w:rFonts w:hint="eastAsia"/>
        </w:rPr>
        <w:t>药的选择和使用应符合</w:t>
      </w:r>
      <w:r>
        <w:t>NY/T 393</w:t>
      </w:r>
      <w:r>
        <w:rPr>
          <w:rFonts w:hint="eastAsia"/>
        </w:rPr>
        <w:t>的要求。</w:t>
      </w:r>
    </w:p>
    <w:p w:rsidR="00E4750A" w:rsidRDefault="00F32B1A">
      <w:pPr>
        <w:pStyle w:val="a"/>
        <w:numPr>
          <w:ilvl w:val="0"/>
          <w:numId w:val="0"/>
        </w:numPr>
        <w:spacing w:beforeLines="0" w:afterLines="0" w:line="400" w:lineRule="atLeast"/>
        <w:rPr>
          <w:bCs/>
          <w:szCs w:val="22"/>
        </w:rPr>
      </w:pPr>
      <w:r>
        <w:rPr>
          <w:bCs/>
          <w:szCs w:val="22"/>
        </w:rPr>
        <w:t>9.2常见病虫害</w:t>
      </w:r>
    </w:p>
    <w:p w:rsidR="00E4750A" w:rsidRDefault="00F32B1A">
      <w:pPr>
        <w:pStyle w:val="af0"/>
        <w:spacing w:line="400" w:lineRule="exact"/>
        <w:ind w:firstLine="420"/>
      </w:pPr>
      <w:r>
        <w:rPr>
          <w:rFonts w:hint="eastAsia"/>
        </w:rPr>
        <w:t>结球甘蓝主要病虫害有：软腐病、菌核病、霜霉病、黑腐病、菜青虫、小菜蛾、甜菜夜蛾、蚜虫等。</w:t>
      </w:r>
    </w:p>
    <w:p w:rsidR="00E4750A" w:rsidRDefault="00F32B1A">
      <w:pPr>
        <w:spacing w:line="400" w:lineRule="atLeast"/>
        <w:contextualSpacing/>
        <w:rPr>
          <w:rFonts w:ascii="黑体" w:eastAsia="黑体" w:cs="黑体"/>
          <w:szCs w:val="21"/>
        </w:rPr>
      </w:pPr>
      <w:r>
        <w:rPr>
          <w:rFonts w:ascii="黑体" w:eastAsia="黑体" w:cs="黑体"/>
          <w:szCs w:val="21"/>
        </w:rPr>
        <w:t>9.3</w:t>
      </w:r>
      <w:r>
        <w:rPr>
          <w:rFonts w:ascii="黑体" w:eastAsia="黑体" w:cs="黑体" w:hint="eastAsia"/>
          <w:szCs w:val="21"/>
        </w:rPr>
        <w:t xml:space="preserve"> 防治措施</w:t>
      </w:r>
    </w:p>
    <w:p w:rsidR="00E4750A" w:rsidRDefault="00F32B1A">
      <w:pPr>
        <w:pStyle w:val="2"/>
        <w:widowControl/>
        <w:spacing w:line="400" w:lineRule="atLeast"/>
        <w:ind w:firstLineChars="0" w:firstLine="0"/>
        <w:rPr>
          <w:rFonts w:ascii="黑体" w:eastAsia="黑体" w:cs="黑体"/>
          <w:szCs w:val="21"/>
        </w:rPr>
      </w:pPr>
      <w:r>
        <w:rPr>
          <w:rFonts w:ascii="黑体" w:eastAsia="黑体" w:cs="黑体"/>
          <w:szCs w:val="21"/>
        </w:rPr>
        <w:t>9.3.1</w:t>
      </w:r>
      <w:r>
        <w:rPr>
          <w:rFonts w:ascii="黑体" w:eastAsia="黑体" w:cs="黑体" w:hint="eastAsia"/>
          <w:szCs w:val="21"/>
        </w:rPr>
        <w:t xml:space="preserve"> 农业防治</w:t>
      </w:r>
    </w:p>
    <w:p w:rsidR="00E4750A" w:rsidRDefault="00F32B1A">
      <w:pPr>
        <w:pStyle w:val="af0"/>
        <w:spacing w:line="400" w:lineRule="exact"/>
        <w:ind w:firstLine="420"/>
        <w:rPr>
          <w:rFonts w:cs="宋体"/>
          <w:szCs w:val="21"/>
        </w:rPr>
      </w:pPr>
      <w:r>
        <w:rPr>
          <w:rFonts w:hint="eastAsia"/>
          <w:szCs w:val="21"/>
        </w:rPr>
        <w:t>应制定与非十字花科作物的三年轮作计划，避免重、迎茬；选用抗病虫害强的品种；</w:t>
      </w:r>
      <w:r>
        <w:rPr>
          <w:rFonts w:cs="宋体" w:hint="eastAsia"/>
          <w:szCs w:val="21"/>
        </w:rPr>
        <w:t>采用</w:t>
      </w:r>
      <w:r>
        <w:rPr>
          <w:rFonts w:hint="eastAsia"/>
        </w:rPr>
        <w:t>深沟高畦栽培，</w:t>
      </w:r>
      <w:r>
        <w:rPr>
          <w:rFonts w:cs="宋体" w:hint="eastAsia"/>
          <w:szCs w:val="21"/>
        </w:rPr>
        <w:t>采收后清洁田园并及时清除残株败叶，减少虫源；生长过程中发现病虫叶、病虫核心株应及时摘除并专池深埋处理。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霜霉病：合理轮作，深沟高畦。苗期防止播种过密，及时间苗，剔除病苗。田间合理密植，增加田间通透性，合理灌溉，防止大水漫灌。施足基肥，增施磷、钾肥，结球期保证水肥供应，促进植株生长旺盛，提高抗病力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黑腐病：选用抗病品种；适时播种，合理浇水，适期蹲苗；平衡施肥，增施磷钾肥，提高植株抗病性；清除田间的植株残体，减少田间病原。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软腐病：大雨之后注意及时排水。及时防虫害，中耕除草时避免伤根。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</w:rPr>
        <w:t>菌核病：合理施肥，避免偏施氮肥，及时追肥。发现病株及时</w:t>
      </w:r>
      <w:r w:rsidR="007E1616">
        <w:rPr>
          <w:rFonts w:hint="eastAsia"/>
        </w:rPr>
        <w:t>拔除</w:t>
      </w:r>
      <w:r>
        <w:rPr>
          <w:rFonts w:hint="eastAsia"/>
        </w:rPr>
        <w:t>、深埋。</w:t>
      </w:r>
    </w:p>
    <w:p w:rsidR="00E4750A" w:rsidRDefault="00F32B1A">
      <w:pPr>
        <w:pStyle w:val="2"/>
        <w:widowControl/>
        <w:spacing w:line="400" w:lineRule="atLeast"/>
        <w:ind w:firstLineChars="0" w:firstLine="0"/>
        <w:rPr>
          <w:rFonts w:cs="黑体"/>
        </w:rPr>
      </w:pPr>
      <w:r>
        <w:rPr>
          <w:rFonts w:ascii="黑体" w:eastAsia="黑体" w:cs="黑体"/>
          <w:szCs w:val="21"/>
        </w:rPr>
        <w:t>9.3.2</w:t>
      </w:r>
      <w:r>
        <w:rPr>
          <w:rFonts w:ascii="黑体" w:eastAsia="黑体" w:cs="黑体" w:hint="eastAsia"/>
          <w:szCs w:val="21"/>
        </w:rPr>
        <w:t xml:space="preserve"> 物理防治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</w:pPr>
      <w:r>
        <w:rPr>
          <w:rFonts w:hint="eastAsia"/>
        </w:rPr>
        <w:t xml:space="preserve">    黑腐病：采用温汤浸种，种子用50℃温水浸种15</w:t>
      </w:r>
      <w:r>
        <w:t>min</w:t>
      </w:r>
      <w:bookmarkStart w:id="0" w:name="_GoBack"/>
      <w:bookmarkEnd w:id="0"/>
      <w:r>
        <w:rPr>
          <w:rFonts w:hint="eastAsia"/>
        </w:rPr>
        <w:t>，可有效减轻病害发生。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="405"/>
      </w:pPr>
      <w:r>
        <w:rPr>
          <w:rFonts w:hint="eastAsia"/>
        </w:rPr>
        <w:lastRenderedPageBreak/>
        <w:t>菜青虫、小菜蛾，甜菜蛾类：每1～1.5hm</w:t>
      </w:r>
      <w:r>
        <w:rPr>
          <w:vertAlign w:val="superscript"/>
        </w:rPr>
        <w:t>2</w:t>
      </w:r>
      <w:r>
        <w:rPr>
          <w:rFonts w:hint="eastAsia"/>
        </w:rPr>
        <w:t>设立一盏杀虫灯诱杀害虫。通过在田间设置物理结构的诱捕器，将人工合成的化学信息素诱芯放置于诱捕器中，引诱成虫至诱捕器中，物理诱杀成虫。田间发现甜菜夜蛾卵块，及时摘除。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="405"/>
      </w:pPr>
      <w:r>
        <w:rPr>
          <w:rFonts w:hint="eastAsia"/>
        </w:rPr>
        <w:t>蚜虫</w:t>
      </w:r>
      <w:r>
        <w:t>:</w:t>
      </w:r>
      <w:r>
        <w:rPr>
          <w:rFonts w:hint="eastAsia"/>
        </w:rPr>
        <w:t>用银灰色膜驱蚜，在行间或株间悬挂黄板诱杀蚜虫，密度20～25块/亩，灯光诱杀成虫。</w:t>
      </w:r>
    </w:p>
    <w:p w:rsidR="00E4750A" w:rsidRDefault="00F32B1A">
      <w:pPr>
        <w:pStyle w:val="af1"/>
        <w:snapToGrid w:val="0"/>
        <w:spacing w:line="400" w:lineRule="exact"/>
      </w:pPr>
      <w:r>
        <w:rPr>
          <w:rFonts w:cs="黑体"/>
        </w:rPr>
        <w:t>9.3.3</w:t>
      </w:r>
      <w:r>
        <w:rPr>
          <w:rFonts w:hint="eastAsia"/>
        </w:rPr>
        <w:t>生物防治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</w:pPr>
      <w:r>
        <w:rPr>
          <w:rFonts w:hint="eastAsia"/>
        </w:rPr>
        <w:t>用昆虫性信息素诱杀害虫或用生物源农药防治害虫。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菜青虫：</w:t>
      </w:r>
      <w:r>
        <w:rPr>
          <w:rFonts w:ascii="Times New Roman" w:hAnsi="Times New Roman"/>
        </w:rPr>
        <w:t>8000IU/μl</w:t>
      </w:r>
      <w:r>
        <w:rPr>
          <w:rFonts w:ascii="Times New Roman" w:hAnsi="Times New Roman"/>
        </w:rPr>
        <w:t>苏云金杆菌悬浮剂</w:t>
      </w:r>
      <w:r>
        <w:rPr>
          <w:rFonts w:ascii="Times New Roman" w:hAnsi="Times New Roman"/>
        </w:rPr>
        <w:t>200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300ml/</w:t>
      </w:r>
      <w:r>
        <w:rPr>
          <w:rFonts w:ascii="Times New Roman" w:hAnsi="Times New Roman"/>
        </w:rPr>
        <w:t>亩或</w:t>
      </w:r>
      <w:r>
        <w:rPr>
          <w:rFonts w:ascii="Times New Roman" w:hAnsi="Times New Roman"/>
        </w:rPr>
        <w:t>0.5%</w:t>
      </w:r>
      <w:r>
        <w:rPr>
          <w:rFonts w:ascii="Times New Roman" w:hAnsi="Times New Roman"/>
        </w:rPr>
        <w:t>苦参碱水剂</w:t>
      </w:r>
      <w:r>
        <w:rPr>
          <w:rFonts w:ascii="Times New Roman" w:hAnsi="Times New Roman"/>
        </w:rPr>
        <w:t>36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54ml/</w:t>
      </w:r>
      <w:r>
        <w:rPr>
          <w:rFonts w:ascii="Times New Roman" w:hAnsi="Times New Roman"/>
        </w:rPr>
        <w:t>亩均匀喷雾。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小菜蛾：</w:t>
      </w:r>
      <w:r>
        <w:rPr>
          <w:rFonts w:ascii="Times New Roman" w:hAnsi="Times New Roman"/>
        </w:rPr>
        <w:t xml:space="preserve"> 16000IU/mg</w:t>
      </w:r>
      <w:r>
        <w:rPr>
          <w:rFonts w:ascii="Times New Roman" w:hAnsi="Times New Roman"/>
        </w:rPr>
        <w:t>苏云金杆菌可湿性粉剂</w:t>
      </w:r>
      <w:r w:rsidR="004F25AC">
        <w:rPr>
          <w:rFonts w:ascii="Times New Roman" w:hAnsi="Times New Roman" w:hint="eastAsia"/>
        </w:rPr>
        <w:t>30</w:t>
      </w:r>
      <w:r>
        <w:rPr>
          <w:rFonts w:ascii="Times New Roman" w:hAnsi="Times New Roman"/>
        </w:rPr>
        <w:t>～</w:t>
      </w:r>
      <w:r w:rsidR="004F25AC">
        <w:rPr>
          <w:rFonts w:ascii="Times New Roman" w:hAnsi="Times New Roman" w:hint="eastAsia"/>
        </w:rPr>
        <w:t>70</w:t>
      </w:r>
      <w:r>
        <w:rPr>
          <w:rFonts w:ascii="Times New Roman" w:hAnsi="Times New Roman"/>
        </w:rPr>
        <w:t xml:space="preserve"> g/</w:t>
      </w:r>
      <w:r>
        <w:rPr>
          <w:rFonts w:ascii="Times New Roman" w:hAnsi="Times New Roman"/>
        </w:rPr>
        <w:t>亩或</w:t>
      </w:r>
      <w:r>
        <w:rPr>
          <w:rFonts w:ascii="Times New Roman" w:hAnsi="Times New Roman"/>
        </w:rPr>
        <w:t>1%</w:t>
      </w:r>
      <w:r>
        <w:rPr>
          <w:rFonts w:ascii="Times New Roman" w:hAnsi="Times New Roman"/>
        </w:rPr>
        <w:t>印楝素微乳剂</w:t>
      </w:r>
      <w:r>
        <w:rPr>
          <w:rFonts w:ascii="Times New Roman" w:hAnsi="Times New Roman"/>
        </w:rPr>
        <w:t>42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56ml/</w:t>
      </w:r>
      <w:r>
        <w:rPr>
          <w:rFonts w:ascii="Times New Roman" w:hAnsi="Times New Roman"/>
        </w:rPr>
        <w:t>亩均匀喷雾。</w:t>
      </w:r>
    </w:p>
    <w:p w:rsidR="00E4750A" w:rsidRDefault="00F32B1A">
      <w:pPr>
        <w:pStyle w:val="a0"/>
        <w:numPr>
          <w:ilvl w:val="0"/>
          <w:numId w:val="0"/>
        </w:numPr>
        <w:snapToGrid w:val="0"/>
        <w:spacing w:line="40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甜菜夜蛾：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亿</w:t>
      </w:r>
      <w:r>
        <w:rPr>
          <w:rFonts w:ascii="Times New Roman" w:hAnsi="Times New Roman"/>
        </w:rPr>
        <w:t>PIB/ml</w:t>
      </w:r>
      <w:r>
        <w:rPr>
          <w:rFonts w:ascii="Times New Roman" w:hAnsi="Times New Roman"/>
        </w:rPr>
        <w:t>甜菜夜蛾核型多角体病毒悬浮剂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>～</w:t>
      </w:r>
      <w:r>
        <w:rPr>
          <w:rFonts w:ascii="Times New Roman" w:hAnsi="Times New Roman"/>
        </w:rPr>
        <w:t>100ml/</w:t>
      </w:r>
      <w:r>
        <w:rPr>
          <w:rFonts w:ascii="Times New Roman" w:hAnsi="Times New Roman"/>
        </w:rPr>
        <w:t>亩均匀喷雾。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ascii="宋体" w:eastAsia="宋体"/>
          <w:szCs w:val="22"/>
        </w:rPr>
      </w:pPr>
      <w:r>
        <w:rPr>
          <w:rFonts w:cs="黑体"/>
          <w:szCs w:val="21"/>
        </w:rPr>
        <w:t>9.3.4</w:t>
      </w:r>
      <w:r>
        <w:rPr>
          <w:rFonts w:cs="黑体" w:hint="eastAsia"/>
          <w:szCs w:val="21"/>
        </w:rPr>
        <w:t xml:space="preserve"> 化学防治</w:t>
      </w:r>
    </w:p>
    <w:p w:rsidR="00E4750A" w:rsidRDefault="00F32B1A">
      <w:pPr>
        <w:pStyle w:val="af0"/>
        <w:snapToGrid w:val="0"/>
        <w:spacing w:line="400" w:lineRule="exact"/>
        <w:ind w:firstLine="420"/>
      </w:pPr>
      <w:r>
        <w:rPr>
          <w:rFonts w:hint="eastAsia"/>
          <w:szCs w:val="22"/>
        </w:rPr>
        <w:t>主要病</w:t>
      </w:r>
      <w:r>
        <w:rPr>
          <w:szCs w:val="22"/>
        </w:rPr>
        <w:t>虫</w:t>
      </w:r>
      <w:r>
        <w:rPr>
          <w:rFonts w:hint="eastAsia"/>
          <w:szCs w:val="22"/>
        </w:rPr>
        <w:t>害</w:t>
      </w:r>
      <w:r>
        <w:rPr>
          <w:szCs w:val="22"/>
        </w:rPr>
        <w:t>农药防治方案参见</w:t>
      </w:r>
      <w:r>
        <w:rPr>
          <w:rFonts w:hint="eastAsia"/>
          <w:szCs w:val="22"/>
        </w:rPr>
        <w:t>附录</w:t>
      </w:r>
      <w:r>
        <w:rPr>
          <w:szCs w:val="22"/>
        </w:rPr>
        <w:t>A</w:t>
      </w:r>
      <w:r>
        <w:rPr>
          <w:rFonts w:hint="eastAsia"/>
          <w:szCs w:val="21"/>
        </w:rPr>
        <w:t>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</w:pPr>
      <w:r>
        <w:t>10</w:t>
      </w:r>
      <w:r>
        <w:rPr>
          <w:rFonts w:hint="eastAsia"/>
        </w:rPr>
        <w:t xml:space="preserve"> 采收</w:t>
      </w:r>
    </w:p>
    <w:p w:rsidR="00E4750A" w:rsidRDefault="00F32B1A">
      <w:pPr>
        <w:pStyle w:val="af0"/>
        <w:snapToGrid w:val="0"/>
        <w:spacing w:line="400" w:lineRule="exact"/>
        <w:ind w:firstLine="420"/>
        <w:rPr>
          <w:rFonts w:cs="宋体"/>
          <w:szCs w:val="21"/>
        </w:rPr>
      </w:pPr>
      <w:r>
        <w:rPr>
          <w:rFonts w:cs="宋体" w:hint="eastAsia"/>
          <w:szCs w:val="21"/>
        </w:rPr>
        <w:t>选择叶球发育完好、结球紧实、表现出品种特征</w:t>
      </w:r>
      <w:r>
        <w:rPr>
          <w:rFonts w:ascii="Calibri" w:hAnsi="Calibri" w:cs="宋体" w:hint="eastAsia"/>
          <w:kern w:val="2"/>
          <w:szCs w:val="21"/>
        </w:rPr>
        <w:t>性状</w:t>
      </w:r>
      <w:r>
        <w:rPr>
          <w:rFonts w:cs="宋体" w:hint="eastAsia"/>
          <w:szCs w:val="21"/>
        </w:rPr>
        <w:t>时即可采收。采</w:t>
      </w:r>
      <w:r>
        <w:rPr>
          <w:rFonts w:hint="eastAsia"/>
          <w:szCs w:val="21"/>
        </w:rPr>
        <w:t xml:space="preserve">收时保留2片外叶（莲座叶）以保护叶球，做到表面干净、无裂球，并按照叶球大小进行分级，统一规格。采收时注意农药安全间隔期，产品质量应符合NY/T </w:t>
      </w:r>
      <w:r>
        <w:rPr>
          <w:szCs w:val="21"/>
        </w:rPr>
        <w:t>746</w:t>
      </w:r>
      <w:r>
        <w:rPr>
          <w:rFonts w:hint="eastAsia"/>
          <w:szCs w:val="21"/>
        </w:rPr>
        <w:t>要求。</w:t>
      </w:r>
    </w:p>
    <w:p w:rsidR="00E4750A" w:rsidRDefault="00F32B1A">
      <w:pPr>
        <w:pStyle w:val="1"/>
        <w:snapToGrid w:val="0"/>
        <w:spacing w:line="400" w:lineRule="exact"/>
        <w:ind w:firstLineChars="0" w:firstLine="0"/>
        <w:rPr>
          <w:rFonts w:ascii="黑体" w:eastAsia="黑体" w:cs="黑体"/>
        </w:rPr>
      </w:pPr>
      <w:r>
        <w:rPr>
          <w:rFonts w:ascii="黑体" w:eastAsia="黑体" w:cs="黑体"/>
        </w:rPr>
        <w:t>11</w:t>
      </w:r>
      <w:r>
        <w:rPr>
          <w:rFonts w:ascii="黑体" w:eastAsia="黑体" w:cs="黑体" w:hint="eastAsia"/>
        </w:rPr>
        <w:t xml:space="preserve"> 生产废弃物的处理</w:t>
      </w:r>
    </w:p>
    <w:p w:rsidR="00E4750A" w:rsidRDefault="00F32B1A">
      <w:pPr>
        <w:pStyle w:val="af0"/>
        <w:snapToGrid w:val="0"/>
        <w:spacing w:line="400" w:lineRule="exact"/>
        <w:ind w:firstLine="420"/>
        <w:rPr>
          <w:szCs w:val="22"/>
        </w:rPr>
      </w:pPr>
      <w:r>
        <w:rPr>
          <w:rFonts w:hint="eastAsia"/>
        </w:rPr>
        <w:t>在生产基地内，建立废弃物与污染物收集设施，各种废弃物与污染物要分门别类收集。集中统一无害化处理。未发生病虫害的桔杆、叶片收割后直接还田，通过翻耕压入土壤中补充土壤有机质，培肥地力；人工摘除的发生病虫害的秸秆、叶片要及时专池处理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cs="黑体"/>
          <w:szCs w:val="22"/>
        </w:rPr>
      </w:pPr>
      <w:r>
        <w:rPr>
          <w:rFonts w:cs="黑体"/>
          <w:szCs w:val="22"/>
        </w:rPr>
        <w:t>12</w:t>
      </w:r>
      <w:r>
        <w:rPr>
          <w:rFonts w:cs="黑体" w:hint="eastAsia"/>
          <w:szCs w:val="22"/>
        </w:rPr>
        <w:t xml:space="preserve"> 包装、贮运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ascii="宋体" w:eastAsia="宋体"/>
          <w:szCs w:val="22"/>
        </w:rPr>
      </w:pPr>
      <w:r>
        <w:rPr>
          <w:rFonts w:cs="黑体"/>
          <w:szCs w:val="22"/>
        </w:rPr>
        <w:t xml:space="preserve">12.1 </w:t>
      </w:r>
      <w:r>
        <w:rPr>
          <w:rFonts w:cs="黑体" w:hint="eastAsia"/>
          <w:szCs w:val="22"/>
        </w:rPr>
        <w:t>包装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ind w:firstLineChars="200" w:firstLine="420"/>
        <w:rPr>
          <w:rFonts w:ascii="宋体" w:eastAsia="宋体"/>
          <w:szCs w:val="22"/>
        </w:rPr>
      </w:pPr>
      <w:r>
        <w:rPr>
          <w:rFonts w:ascii="宋体" w:eastAsia="宋体" w:cs="宋体" w:hint="eastAsia"/>
          <w:szCs w:val="22"/>
        </w:rPr>
        <w:t>包装物应使用可重复利用、易降解、不造成产品污染的材料，</w:t>
      </w:r>
      <w:r>
        <w:rPr>
          <w:rFonts w:ascii="宋体" w:eastAsia="宋体" w:cs="宋体" w:hint="eastAsia"/>
        </w:rPr>
        <w:t>产品的包装上应按要求加上绿色食品标志，</w:t>
      </w:r>
      <w:r>
        <w:rPr>
          <w:rFonts w:ascii="宋体" w:eastAsia="宋体" w:cs="宋体" w:hint="eastAsia"/>
          <w:szCs w:val="22"/>
        </w:rPr>
        <w:t>包装应符合</w:t>
      </w:r>
      <w:r>
        <w:rPr>
          <w:rFonts w:ascii="宋体" w:eastAsia="宋体" w:cs="宋体"/>
          <w:szCs w:val="22"/>
        </w:rPr>
        <w:t>NY/T658的要求。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rPr>
          <w:rFonts w:ascii="宋体" w:eastAsia="宋体"/>
          <w:szCs w:val="22"/>
        </w:rPr>
      </w:pPr>
      <w:r>
        <w:rPr>
          <w:rFonts w:cs="黑体"/>
          <w:szCs w:val="22"/>
        </w:rPr>
        <w:t>12.2</w:t>
      </w:r>
      <w:r>
        <w:rPr>
          <w:rFonts w:cs="黑体" w:hint="eastAsia"/>
          <w:szCs w:val="22"/>
        </w:rPr>
        <w:t xml:space="preserve"> 贮</w:t>
      </w:r>
      <w:r>
        <w:rPr>
          <w:rFonts w:cs="黑体"/>
          <w:szCs w:val="22"/>
        </w:rPr>
        <w:t xml:space="preserve">运 </w:t>
      </w:r>
    </w:p>
    <w:p w:rsidR="00E4750A" w:rsidRDefault="00F32B1A">
      <w:pPr>
        <w:pStyle w:val="a"/>
        <w:numPr>
          <w:ilvl w:val="0"/>
          <w:numId w:val="0"/>
        </w:numPr>
        <w:snapToGrid w:val="0"/>
        <w:spacing w:beforeLines="0" w:afterLines="0" w:line="400" w:lineRule="exact"/>
        <w:ind w:firstLineChars="200" w:firstLine="420"/>
        <w:rPr>
          <w:rFonts w:ascii="宋体" w:eastAsia="宋体" w:cs="宋体"/>
          <w:szCs w:val="22"/>
        </w:rPr>
      </w:pPr>
      <w:r>
        <w:rPr>
          <w:rFonts w:ascii="宋体" w:eastAsia="宋体" w:cs="宋体" w:hint="eastAsia"/>
        </w:rPr>
        <w:t>按销售计划采收，尽快销售，不宜</w:t>
      </w:r>
      <w:r>
        <w:rPr>
          <w:rFonts w:ascii="宋体" w:eastAsia="宋体" w:cs="宋体" w:hint="eastAsia"/>
          <w:szCs w:val="22"/>
        </w:rPr>
        <w:t>储存。临时短期贮</w:t>
      </w:r>
      <w:r>
        <w:rPr>
          <w:rFonts w:ascii="宋体" w:eastAsia="宋体" w:cs="宋体" w:hint="eastAsia"/>
        </w:rPr>
        <w:t>藏的地点应通风、清洁、卫生，严防雨淋及有毒物质的污染，有条件的应进行低温贮藏，冷藏温度</w:t>
      </w:r>
      <w:r>
        <w:rPr>
          <w:rFonts w:ascii="Times New Roman" w:eastAsia="宋体"/>
        </w:rPr>
        <w:t>－</w:t>
      </w:r>
      <w:r>
        <w:rPr>
          <w:rFonts w:ascii="Times New Roman" w:eastAsia="宋体"/>
        </w:rPr>
        <w:t>1~1</w:t>
      </w:r>
      <w:r>
        <w:rPr>
          <w:rFonts w:ascii="宋体" w:eastAsia="宋体" w:cs="宋体" w:hint="eastAsia"/>
        </w:rPr>
        <w:t>℃</w:t>
      </w:r>
      <w:r>
        <w:rPr>
          <w:rFonts w:ascii="Times New Roman" w:eastAsia="宋体"/>
        </w:rPr>
        <w:t>，</w:t>
      </w:r>
      <w:r>
        <w:rPr>
          <w:rFonts w:ascii="宋体" w:eastAsia="宋体" w:cs="宋体"/>
        </w:rPr>
        <w:t>相对湿度</w:t>
      </w:r>
      <w:r>
        <w:rPr>
          <w:rFonts w:ascii="Times New Roman" w:eastAsia="宋体"/>
        </w:rPr>
        <w:t>90%~95%</w:t>
      </w:r>
      <w:r>
        <w:rPr>
          <w:rFonts w:ascii="Times New Roman" w:eastAsia="宋体"/>
        </w:rPr>
        <w:t>。</w:t>
      </w:r>
      <w:r>
        <w:rPr>
          <w:rFonts w:ascii="宋体" w:eastAsia="宋体" w:cs="宋体" w:hint="eastAsia"/>
          <w:szCs w:val="22"/>
        </w:rPr>
        <w:t>运输工具在装载前应清理干净，防止二次污染。贮运过程应符合</w:t>
      </w:r>
      <w:r>
        <w:rPr>
          <w:rFonts w:ascii="宋体" w:eastAsia="宋体" w:cs="宋体"/>
          <w:szCs w:val="22"/>
        </w:rPr>
        <w:t>NY/T1056的要求。</w:t>
      </w:r>
    </w:p>
    <w:p w:rsidR="00E4750A" w:rsidRDefault="00F32B1A">
      <w:pPr>
        <w:snapToGrid w:val="0"/>
        <w:spacing w:line="400" w:lineRule="exact"/>
        <w:rPr>
          <w:rFonts w:ascii="黑体" w:eastAsia="黑体" w:cs="黑体"/>
          <w:szCs w:val="21"/>
        </w:rPr>
      </w:pPr>
      <w:r>
        <w:rPr>
          <w:rFonts w:ascii="黑体" w:eastAsia="黑体" w:cs="黑体"/>
          <w:szCs w:val="21"/>
        </w:rPr>
        <w:t>13</w:t>
      </w:r>
      <w:r>
        <w:rPr>
          <w:rFonts w:ascii="黑体" w:eastAsia="黑体" w:cs="黑体" w:hint="eastAsia"/>
          <w:szCs w:val="21"/>
        </w:rPr>
        <w:t xml:space="preserve"> 生产档案管理</w:t>
      </w:r>
    </w:p>
    <w:p w:rsidR="00E4750A" w:rsidRDefault="00F32B1A">
      <w:pPr>
        <w:pStyle w:val="af0"/>
        <w:snapToGrid w:val="0"/>
        <w:spacing w:line="400" w:lineRule="exact"/>
        <w:ind w:firstLine="420"/>
        <w:rPr>
          <w:szCs w:val="21"/>
        </w:rPr>
      </w:pPr>
      <w:r>
        <w:rPr>
          <w:rFonts w:cs="宋体" w:hint="eastAsia"/>
        </w:rPr>
        <w:lastRenderedPageBreak/>
        <w:t>要建立生产档案。做好记录，应有整地、种子处理、播种、肥水管理、病虫草害的发生和防治、采收及采后处理、包装、贮运等情况的生产记录，生产记录保存三年以上，做到生产全程可追溯。</w:t>
      </w: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E4750A" w:rsidRDefault="00E4750A">
      <w:pPr>
        <w:pStyle w:val="af0"/>
        <w:snapToGrid w:val="0"/>
        <w:spacing w:line="400" w:lineRule="exact"/>
        <w:ind w:firstLine="420"/>
      </w:pPr>
    </w:p>
    <w:p w:rsidR="004939E1" w:rsidRDefault="004939E1">
      <w:pPr>
        <w:pStyle w:val="af0"/>
        <w:snapToGrid w:val="0"/>
        <w:spacing w:line="400" w:lineRule="exact"/>
        <w:ind w:firstLine="420"/>
      </w:pPr>
    </w:p>
    <w:p w:rsidR="00E4750A" w:rsidRDefault="00F32B1A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/>
          <w:kern w:val="0"/>
          <w:szCs w:val="21"/>
        </w:rPr>
      </w:pPr>
      <w:r>
        <w:rPr>
          <w:rFonts w:ascii="Times New Roman" w:eastAsia="黑体" w:hAnsi="Times New Roman"/>
          <w:kern w:val="0"/>
          <w:szCs w:val="21"/>
        </w:rPr>
        <w:lastRenderedPageBreak/>
        <w:t>附录</w:t>
      </w:r>
      <w:r>
        <w:rPr>
          <w:rFonts w:ascii="Times New Roman" w:eastAsia="黑体" w:hAnsi="Times New Roman"/>
          <w:kern w:val="0"/>
          <w:szCs w:val="21"/>
        </w:rPr>
        <w:t>A</w:t>
      </w:r>
    </w:p>
    <w:p w:rsidR="00E4750A" w:rsidRDefault="00F32B1A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/>
          <w:kern w:val="0"/>
          <w:szCs w:val="21"/>
        </w:rPr>
      </w:pPr>
      <w:r>
        <w:rPr>
          <w:rFonts w:ascii="Times New Roman" w:eastAsia="黑体" w:hAnsi="Times New Roman"/>
          <w:kern w:val="0"/>
          <w:szCs w:val="21"/>
        </w:rPr>
        <w:t>（资料性附录）</w:t>
      </w:r>
    </w:p>
    <w:p w:rsidR="00E4750A" w:rsidRDefault="00F32B1A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/>
          <w:kern w:val="0"/>
          <w:szCs w:val="21"/>
        </w:rPr>
      </w:pPr>
      <w:r>
        <w:rPr>
          <w:rFonts w:ascii="Times New Roman" w:eastAsia="黑体" w:hAnsi="Times New Roman"/>
          <w:szCs w:val="21"/>
        </w:rPr>
        <w:t>华南地区</w:t>
      </w:r>
      <w:r>
        <w:rPr>
          <w:rFonts w:ascii="Times New Roman" w:eastAsia="黑体" w:hAnsi="Times New Roman"/>
          <w:kern w:val="0"/>
          <w:szCs w:val="21"/>
        </w:rPr>
        <w:t>绿色食品</w:t>
      </w:r>
      <w:r>
        <w:rPr>
          <w:rFonts w:ascii="Times New Roman" w:eastAsia="黑体" w:hAnsi="Times New Roman"/>
          <w:szCs w:val="21"/>
        </w:rPr>
        <w:t>冬春甘蓝</w:t>
      </w:r>
      <w:r>
        <w:rPr>
          <w:rFonts w:ascii="Times New Roman" w:eastAsia="黑体" w:hAnsi="Times New Roman"/>
          <w:kern w:val="0"/>
          <w:szCs w:val="21"/>
        </w:rPr>
        <w:t>生产主要病虫害农药防治方案</w:t>
      </w:r>
    </w:p>
    <w:p w:rsidR="004939E1" w:rsidRDefault="004939E1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/>
          <w:kern w:val="0"/>
          <w:szCs w:val="21"/>
        </w:rPr>
      </w:pPr>
    </w:p>
    <w:tbl>
      <w:tblPr>
        <w:tblW w:w="9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073"/>
        <w:gridCol w:w="2977"/>
        <w:gridCol w:w="1889"/>
        <w:gridCol w:w="1092"/>
        <w:gridCol w:w="1005"/>
      </w:tblGrid>
      <w:tr w:rsidR="00E4750A">
        <w:trPr>
          <w:trHeight w:val="454"/>
          <w:jc w:val="center"/>
        </w:trPr>
        <w:tc>
          <w:tcPr>
            <w:tcW w:w="1270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防治对象</w:t>
            </w:r>
          </w:p>
        </w:tc>
        <w:tc>
          <w:tcPr>
            <w:tcW w:w="1073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防治时期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农药名称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使用量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使用方法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安全间隔期</w:t>
            </w:r>
            <w:r>
              <w:rPr>
                <w:rFonts w:ascii="Times New Roman" w:hAnsi="Times New Roman"/>
                <w:kern w:val="0"/>
                <w:szCs w:val="21"/>
              </w:rPr>
              <w:t>,d</w:t>
            </w:r>
          </w:p>
        </w:tc>
      </w:tr>
      <w:tr w:rsidR="004F25AC">
        <w:trPr>
          <w:trHeight w:val="454"/>
          <w:jc w:val="center"/>
        </w:trPr>
        <w:tc>
          <w:tcPr>
            <w:tcW w:w="1270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F25AC">
              <w:rPr>
                <w:rFonts w:ascii="Times New Roman" w:hAnsi="Times New Roman" w:hint="eastAsia"/>
                <w:kern w:val="0"/>
                <w:szCs w:val="21"/>
              </w:rPr>
              <w:t>软腐病</w:t>
            </w:r>
          </w:p>
        </w:tc>
        <w:tc>
          <w:tcPr>
            <w:tcW w:w="1073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F25AC">
              <w:rPr>
                <w:rFonts w:ascii="Times New Roman" w:hAnsi="Times New Roman" w:hint="eastAsia"/>
                <w:kern w:val="0"/>
                <w:szCs w:val="21"/>
              </w:rPr>
              <w:t>发病初期</w:t>
            </w:r>
          </w:p>
        </w:tc>
        <w:tc>
          <w:tcPr>
            <w:tcW w:w="2977" w:type="dxa"/>
            <w:vAlign w:val="center"/>
          </w:tcPr>
          <w:p w:rsidR="004F25AC" w:rsidRDefault="004939E1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5%</w:t>
            </w:r>
            <w:r w:rsidR="004F25AC" w:rsidRPr="004F25AC">
              <w:rPr>
                <w:rFonts w:ascii="Times New Roman" w:hAnsi="Times New Roman" w:hint="eastAsia"/>
                <w:kern w:val="0"/>
                <w:szCs w:val="21"/>
              </w:rPr>
              <w:t>大蒜素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微乳剂</w:t>
            </w:r>
          </w:p>
        </w:tc>
        <w:tc>
          <w:tcPr>
            <w:tcW w:w="1889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F25AC">
              <w:rPr>
                <w:rFonts w:ascii="Times New Roman" w:hAnsi="Times New Roman" w:hint="eastAsia"/>
                <w:kern w:val="0"/>
                <w:szCs w:val="21"/>
              </w:rPr>
              <w:t>60-80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g</w:t>
            </w:r>
            <w:r w:rsidRPr="004F25AC">
              <w:rPr>
                <w:rFonts w:ascii="Times New Roman" w:hAnsi="Times New Roman" w:hint="eastAsia"/>
                <w:kern w:val="0"/>
                <w:szCs w:val="21"/>
              </w:rPr>
              <w:t>/</w:t>
            </w:r>
            <w:r w:rsidRPr="004F25AC">
              <w:rPr>
                <w:rFonts w:ascii="Times New Roman" w:hAnsi="Times New Roman" w:hint="eastAsia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4F25AC" w:rsidRDefault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--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蚜虫</w:t>
            </w:r>
          </w:p>
        </w:tc>
        <w:tc>
          <w:tcPr>
            <w:tcW w:w="1073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发生</w:t>
            </w:r>
            <w:r w:rsidR="004F25AC">
              <w:rPr>
                <w:rFonts w:ascii="Times New Roman" w:hAnsi="Times New Roman" w:hint="eastAsia"/>
                <w:kern w:val="0"/>
                <w:szCs w:val="21"/>
              </w:rPr>
              <w:t>始盛</w:t>
            </w:r>
            <w:r>
              <w:rPr>
                <w:rFonts w:ascii="Times New Roman" w:hAnsi="Times New Roman"/>
                <w:kern w:val="0"/>
                <w:szCs w:val="21"/>
              </w:rPr>
              <w:t>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70</w:t>
            </w:r>
            <w:r>
              <w:rPr>
                <w:rFonts w:ascii="Times New Roman" w:hAnsi="Times New Roman"/>
                <w:kern w:val="0"/>
                <w:szCs w:val="21"/>
              </w:rPr>
              <w:t>％吡虫啉水分散粒剂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1.5~2</w:t>
            </w:r>
            <w:r>
              <w:rPr>
                <w:rFonts w:ascii="Times New Roman" w:hAnsi="Times New Roman"/>
                <w:szCs w:val="21"/>
              </w:rPr>
              <w:t xml:space="preserve"> g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Merge/>
            <w:vAlign w:val="center"/>
          </w:tcPr>
          <w:p w:rsidR="00E4750A" w:rsidRDefault="00E4750A"/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10%</w:t>
            </w:r>
            <w:r>
              <w:rPr>
                <w:rFonts w:ascii="Times New Roman" w:hAnsi="Times New Roman"/>
                <w:kern w:val="0"/>
                <w:szCs w:val="21"/>
              </w:rPr>
              <w:t>啶虫脒微乳剂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15~20</w:t>
            </w:r>
            <w:r>
              <w:rPr>
                <w:rFonts w:ascii="Times New Roman" w:hAnsi="Times New Roman"/>
                <w:szCs w:val="21"/>
              </w:rPr>
              <w:t xml:space="preserve"> ml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小菜蛾</w:t>
            </w:r>
          </w:p>
        </w:tc>
        <w:tc>
          <w:tcPr>
            <w:tcW w:w="1073" w:type="dxa"/>
            <w:vMerge w:val="restart"/>
            <w:vAlign w:val="center"/>
          </w:tcPr>
          <w:p w:rsidR="00E4750A" w:rsidRDefault="004F25AC" w:rsidP="004F25AC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  <w:shd w:val="clear" w:color="auto" w:fill="FFFFFF"/>
              </w:rPr>
              <w:t>卵孵盛期、</w:t>
            </w:r>
            <w:r w:rsidR="00F32B1A">
              <w:rPr>
                <w:rFonts w:ascii="Times New Roman" w:hAnsi="Times New Roman"/>
                <w:szCs w:val="21"/>
                <w:shd w:val="clear" w:color="auto" w:fill="FFFFFF"/>
              </w:rPr>
              <w:t>低龄</w:t>
            </w:r>
            <w:r>
              <w:rPr>
                <w:rFonts w:ascii="Times New Roman" w:hAnsi="Times New Roman" w:hint="eastAsia"/>
                <w:szCs w:val="21"/>
                <w:shd w:val="clear" w:color="auto" w:fill="FFFFFF"/>
              </w:rPr>
              <w:t>若</w:t>
            </w:r>
            <w:r w:rsidR="00F32B1A">
              <w:rPr>
                <w:rFonts w:ascii="Times New Roman" w:hAnsi="Times New Roman"/>
                <w:szCs w:val="21"/>
                <w:shd w:val="clear" w:color="auto" w:fill="FFFFFF"/>
              </w:rPr>
              <w:t>虫期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甲氨基阿维菌素苯甲酸盐水分散粒剂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2-4 g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Merge/>
            <w:vAlign w:val="center"/>
          </w:tcPr>
          <w:p w:rsidR="00E4750A" w:rsidRDefault="00E4750A"/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11%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甲维</w:t>
            </w:r>
            <w:r>
              <w:rPr>
                <w:rFonts w:ascii="Times New Roman" w:hAnsi="Times New Roman"/>
                <w:szCs w:val="21"/>
              </w:rPr>
              <w:t>·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茚虫威悬浮剂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9-18 ml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菜青虫</w:t>
            </w:r>
          </w:p>
        </w:tc>
        <w:tc>
          <w:tcPr>
            <w:tcW w:w="1073" w:type="dxa"/>
            <w:vMerge w:val="restart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  <w:shd w:val="clear" w:color="auto" w:fill="FFFFFF"/>
              </w:rPr>
              <w:t>卵及低龄幼虫发生期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10%</w:t>
            </w:r>
            <w:r>
              <w:rPr>
                <w:rFonts w:ascii="Times New Roman" w:hAnsi="Times New Roman"/>
                <w:kern w:val="0"/>
                <w:szCs w:val="21"/>
              </w:rPr>
              <w:t>高效氯氰菊酯乳油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10~20ml/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Merge/>
            <w:vAlign w:val="center"/>
          </w:tcPr>
          <w:p w:rsidR="00E4750A" w:rsidRDefault="00E4750A"/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25%</w:t>
            </w:r>
            <w:r>
              <w:rPr>
                <w:rFonts w:ascii="Times New Roman" w:hAnsi="Times New Roman"/>
                <w:kern w:val="0"/>
                <w:szCs w:val="21"/>
              </w:rPr>
              <w:t>除虫脲可湿性粉剂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60~70g/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 w:val="restart"/>
            <w:vAlign w:val="center"/>
          </w:tcPr>
          <w:p w:rsidR="00E4750A" w:rsidRDefault="00F32B1A" w:rsidP="004939E1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甜菜夜蛾</w:t>
            </w:r>
          </w:p>
        </w:tc>
        <w:tc>
          <w:tcPr>
            <w:tcW w:w="1073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  <w:shd w:val="clear" w:color="auto" w:fill="FFFFFF"/>
              </w:rPr>
              <w:t>卵</w:t>
            </w:r>
            <w:r w:rsidR="004F25AC">
              <w:rPr>
                <w:rFonts w:ascii="Times New Roman" w:hAnsi="Times New Roman" w:hint="eastAsia"/>
                <w:szCs w:val="21"/>
                <w:shd w:val="clear" w:color="auto" w:fill="FFFFFF"/>
              </w:rPr>
              <w:t>孵化盛期、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低龄幼虫期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3%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甲氨基阿维菌素苯甲酸盐微乳剂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4-5 </w:t>
            </w:r>
            <w:r>
              <w:rPr>
                <w:rFonts w:ascii="Times New Roman" w:hAnsi="Times New Roman"/>
                <w:kern w:val="0"/>
                <w:szCs w:val="21"/>
              </w:rPr>
              <w:t>ml/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1270" w:type="dxa"/>
            <w:vMerge/>
            <w:vAlign w:val="center"/>
          </w:tcPr>
          <w:p w:rsidR="00E4750A" w:rsidRDefault="00E4750A"/>
        </w:tc>
        <w:tc>
          <w:tcPr>
            <w:tcW w:w="1073" w:type="dxa"/>
            <w:vAlign w:val="center"/>
          </w:tcPr>
          <w:p w:rsidR="00E4750A" w:rsidRDefault="004F25AC">
            <w:r>
              <w:rPr>
                <w:rFonts w:hint="eastAsia"/>
              </w:rPr>
              <w:t>甜菜夜蛾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龄期</w:t>
            </w:r>
          </w:p>
        </w:tc>
        <w:tc>
          <w:tcPr>
            <w:tcW w:w="2977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5%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高氯</w:t>
            </w:r>
            <w:r>
              <w:rPr>
                <w:rFonts w:ascii="Times New Roman" w:hAnsi="Times New Roman"/>
                <w:szCs w:val="21"/>
              </w:rPr>
              <w:t>·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甲维盐悬浮剂</w:t>
            </w:r>
          </w:p>
        </w:tc>
        <w:tc>
          <w:tcPr>
            <w:tcW w:w="1889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18-30 ml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</w:rPr>
              <w:t>亩</w:t>
            </w:r>
          </w:p>
        </w:tc>
        <w:tc>
          <w:tcPr>
            <w:tcW w:w="1092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喷雾</w:t>
            </w:r>
          </w:p>
        </w:tc>
        <w:tc>
          <w:tcPr>
            <w:tcW w:w="1005" w:type="dxa"/>
            <w:vAlign w:val="center"/>
          </w:tcPr>
          <w:p w:rsidR="00E4750A" w:rsidRDefault="00F32B1A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</w:tr>
      <w:tr w:rsidR="00E4750A">
        <w:trPr>
          <w:trHeight w:val="454"/>
          <w:jc w:val="center"/>
        </w:trPr>
        <w:tc>
          <w:tcPr>
            <w:tcW w:w="9306" w:type="dxa"/>
            <w:gridSpan w:val="6"/>
            <w:vAlign w:val="center"/>
          </w:tcPr>
          <w:p w:rsidR="00E4750A" w:rsidRDefault="00F32B1A">
            <w:pPr>
              <w:widowControl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注：农药使用应以最新版本</w:t>
            </w:r>
            <w:r>
              <w:rPr>
                <w:rFonts w:ascii="Times New Roman" w:hAnsi="Times New Roman"/>
                <w:kern w:val="0"/>
                <w:szCs w:val="21"/>
              </w:rPr>
              <w:t>NY/T 393</w:t>
            </w:r>
            <w:r>
              <w:rPr>
                <w:rFonts w:ascii="Times New Roman" w:hAnsi="Times New Roman"/>
                <w:kern w:val="0"/>
                <w:szCs w:val="21"/>
              </w:rPr>
              <w:t>的规定为准。</w:t>
            </w:r>
          </w:p>
        </w:tc>
      </w:tr>
    </w:tbl>
    <w:p w:rsidR="00E4750A" w:rsidRDefault="00E4750A">
      <w:pPr>
        <w:widowControl/>
        <w:rPr>
          <w:rFonts w:ascii="Times New Roman" w:hAnsi="Times New Roman"/>
          <w:kern w:val="0"/>
          <w:sz w:val="24"/>
        </w:rPr>
      </w:pPr>
    </w:p>
    <w:p w:rsidR="00E4750A" w:rsidRDefault="00E4750A">
      <w:pPr>
        <w:widowControl/>
        <w:rPr>
          <w:rFonts w:ascii="Times New Roman" w:hAnsi="Times New Roman"/>
          <w:kern w:val="0"/>
          <w:szCs w:val="21"/>
        </w:rPr>
      </w:pPr>
    </w:p>
    <w:sectPr w:rsidR="00E4750A" w:rsidSect="00E4750A">
      <w:footerReference w:type="default" r:id="rId11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D1A" w:rsidRPr="00AB3B38" w:rsidRDefault="00594D1A" w:rsidP="00E4750A">
      <w:r>
        <w:separator/>
      </w:r>
    </w:p>
  </w:endnote>
  <w:endnote w:type="continuationSeparator" w:id="0">
    <w:p w:rsidR="00594D1A" w:rsidRPr="00AB3B38" w:rsidRDefault="00594D1A" w:rsidP="00E4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aco">
    <w:charset w:val="00"/>
    <w:family w:val="auto"/>
    <w:pitch w:val="default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50A" w:rsidRDefault="00E4750A">
    <w:pPr>
      <w:pStyle w:val="a8"/>
      <w:jc w:val="center"/>
    </w:pPr>
  </w:p>
  <w:p w:rsidR="00E4750A" w:rsidRDefault="00E4750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50A" w:rsidRDefault="008A7BED">
    <w:pPr>
      <w:pStyle w:val="a8"/>
      <w:jc w:val="center"/>
    </w:pPr>
    <w:r>
      <w:rPr>
        <w:rFonts w:ascii="Times New Roman" w:hAnsi="Times New Roman"/>
      </w:rPr>
      <w:fldChar w:fldCharType="begin"/>
    </w:r>
    <w:r w:rsidR="00F32B1A"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7E1616" w:rsidRPr="007E1616">
      <w:rPr>
        <w:rFonts w:ascii="Times New Roman" w:hAnsi="Times New Roman"/>
        <w:noProof/>
        <w:lang w:val="zh-CN"/>
      </w:rPr>
      <w:t>4</w:t>
    </w:r>
    <w:r>
      <w:rPr>
        <w:rFonts w:ascii="Times New Roman" w:hAnsi="Times New Roman"/>
      </w:rPr>
      <w:fldChar w:fldCharType="end"/>
    </w:r>
  </w:p>
  <w:p w:rsidR="00E4750A" w:rsidRDefault="00E475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D1A" w:rsidRPr="00AB3B38" w:rsidRDefault="00594D1A" w:rsidP="00E4750A">
      <w:r>
        <w:separator/>
      </w:r>
    </w:p>
  </w:footnote>
  <w:footnote w:type="continuationSeparator" w:id="0">
    <w:p w:rsidR="00594D1A" w:rsidRPr="00AB3B38" w:rsidRDefault="00594D1A" w:rsidP="00E47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50A" w:rsidRDefault="00E4750A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50A" w:rsidRDefault="00E4750A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12951"/>
    <w:multiLevelType w:val="multilevel"/>
    <w:tmpl w:val="2F712951"/>
    <w:lvl w:ilvl="0">
      <w:start w:val="1"/>
      <w:numFmt w:val="decimal"/>
      <w:pStyle w:val="a"/>
      <w:suff w:val="nothing"/>
      <w:lvlText w:val="%1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7D3D00"/>
    <w:rsid w:val="000E086F"/>
    <w:rsid w:val="000E65A4"/>
    <w:rsid w:val="001026EC"/>
    <w:rsid w:val="002F6A31"/>
    <w:rsid w:val="0033787B"/>
    <w:rsid w:val="0034148A"/>
    <w:rsid w:val="00345AD5"/>
    <w:rsid w:val="00372409"/>
    <w:rsid w:val="00411C5D"/>
    <w:rsid w:val="004939E1"/>
    <w:rsid w:val="004D61AD"/>
    <w:rsid w:val="004F25AC"/>
    <w:rsid w:val="0058510F"/>
    <w:rsid w:val="00594D1A"/>
    <w:rsid w:val="007A5308"/>
    <w:rsid w:val="007D3D00"/>
    <w:rsid w:val="007E1616"/>
    <w:rsid w:val="008A7BED"/>
    <w:rsid w:val="009A252A"/>
    <w:rsid w:val="00BA2B02"/>
    <w:rsid w:val="00BC15E8"/>
    <w:rsid w:val="00C67B4C"/>
    <w:rsid w:val="00D722E9"/>
    <w:rsid w:val="00E4750A"/>
    <w:rsid w:val="00EA6EEE"/>
    <w:rsid w:val="00EE4628"/>
    <w:rsid w:val="00F32B1A"/>
    <w:rsid w:val="00F8003D"/>
    <w:rsid w:val="03284E71"/>
    <w:rsid w:val="074261C8"/>
    <w:rsid w:val="0F5C79D7"/>
    <w:rsid w:val="110D50F2"/>
    <w:rsid w:val="35853CFD"/>
    <w:rsid w:val="3EFF593F"/>
    <w:rsid w:val="47D11035"/>
    <w:rsid w:val="55A60B57"/>
    <w:rsid w:val="640E2715"/>
    <w:rsid w:val="64D60B4C"/>
    <w:rsid w:val="731A0469"/>
    <w:rsid w:val="7A775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线连接线 4"/>
        <o:r id="V:Rule2" type="connector" idref="#直线连接线 2"/>
      </o:rules>
    </o:shapelayout>
  </w:shapeDefaults>
  <w:decimalSymbol w:val="."/>
  <w:listSeparator w:val=","/>
  <w15:docId w15:val="{0A62C809-0386-4848-9170-F784AFA6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E4750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qFormat/>
    <w:rsid w:val="00E4750A"/>
    <w:pPr>
      <w:jc w:val="left"/>
    </w:pPr>
  </w:style>
  <w:style w:type="paragraph" w:styleId="a6">
    <w:name w:val="Plain Text"/>
    <w:basedOn w:val="a1"/>
    <w:qFormat/>
    <w:rsid w:val="00E4750A"/>
    <w:rPr>
      <w:rFonts w:ascii="宋体" w:cs="Courier New"/>
      <w:szCs w:val="21"/>
    </w:rPr>
  </w:style>
  <w:style w:type="paragraph" w:styleId="a7">
    <w:name w:val="Balloon Text"/>
    <w:basedOn w:val="a1"/>
    <w:qFormat/>
    <w:rsid w:val="00E4750A"/>
    <w:rPr>
      <w:sz w:val="18"/>
      <w:szCs w:val="18"/>
    </w:rPr>
  </w:style>
  <w:style w:type="paragraph" w:styleId="a8">
    <w:name w:val="footer"/>
    <w:basedOn w:val="a1"/>
    <w:qFormat/>
    <w:rsid w:val="00E47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qFormat/>
    <w:rsid w:val="00E47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1"/>
    <w:qFormat/>
    <w:rsid w:val="00E47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paragraph" w:styleId="aa">
    <w:name w:val="annotation subject"/>
    <w:basedOn w:val="a5"/>
    <w:next w:val="a5"/>
    <w:qFormat/>
    <w:rsid w:val="00E4750A"/>
    <w:rPr>
      <w:b/>
      <w:bCs/>
    </w:rPr>
  </w:style>
  <w:style w:type="character" w:styleId="ab">
    <w:name w:val="Strong"/>
    <w:basedOn w:val="a2"/>
    <w:uiPriority w:val="22"/>
    <w:qFormat/>
    <w:rsid w:val="00E4750A"/>
    <w:rPr>
      <w:b/>
    </w:rPr>
  </w:style>
  <w:style w:type="character" w:styleId="ac">
    <w:name w:val="FollowedHyperlink"/>
    <w:basedOn w:val="a2"/>
    <w:uiPriority w:val="99"/>
    <w:semiHidden/>
    <w:unhideWhenUsed/>
    <w:qFormat/>
    <w:rsid w:val="00E4750A"/>
    <w:rPr>
      <w:color w:val="FF0000"/>
      <w:u w:val="none"/>
    </w:rPr>
  </w:style>
  <w:style w:type="character" w:styleId="ad">
    <w:name w:val="Emphasis"/>
    <w:basedOn w:val="a2"/>
    <w:uiPriority w:val="20"/>
    <w:qFormat/>
    <w:rsid w:val="00E4750A"/>
    <w:rPr>
      <w:i/>
    </w:rPr>
  </w:style>
  <w:style w:type="character" w:styleId="ae">
    <w:name w:val="Hyperlink"/>
    <w:qFormat/>
    <w:rsid w:val="00E4750A"/>
    <w:rPr>
      <w:color w:val="0000FF"/>
      <w:spacing w:val="0"/>
      <w:w w:val="100"/>
      <w:szCs w:val="21"/>
      <w:u w:val="single"/>
      <w:lang w:val="en-US" w:eastAsia="zh-CN"/>
    </w:rPr>
  </w:style>
  <w:style w:type="character" w:styleId="HTML0">
    <w:name w:val="HTML Code"/>
    <w:basedOn w:val="a2"/>
    <w:uiPriority w:val="99"/>
    <w:semiHidden/>
    <w:unhideWhenUsed/>
    <w:qFormat/>
    <w:rsid w:val="00E4750A"/>
    <w:rPr>
      <w:rFonts w:ascii="Monaco" w:eastAsia="Monaco" w:hAnsi="Monaco" w:cs="Monaco"/>
      <w:color w:val="DD1144"/>
      <w:sz w:val="18"/>
      <w:szCs w:val="18"/>
      <w:bdr w:val="single" w:sz="6" w:space="0" w:color="E1E1E8"/>
      <w:shd w:val="clear" w:color="auto" w:fill="F7F7F9"/>
    </w:rPr>
  </w:style>
  <w:style w:type="character" w:styleId="af">
    <w:name w:val="annotation reference"/>
    <w:basedOn w:val="a2"/>
    <w:qFormat/>
    <w:rsid w:val="00E4750A"/>
    <w:rPr>
      <w:sz w:val="21"/>
      <w:szCs w:val="21"/>
    </w:rPr>
  </w:style>
  <w:style w:type="character" w:styleId="HTML1">
    <w:name w:val="HTML Cite"/>
    <w:basedOn w:val="a2"/>
    <w:uiPriority w:val="99"/>
    <w:semiHidden/>
    <w:unhideWhenUsed/>
    <w:qFormat/>
    <w:rsid w:val="00E4750A"/>
  </w:style>
  <w:style w:type="character" w:customStyle="1" w:styleId="HTMLChar1">
    <w:name w:val="HTML 预设格式 Char1"/>
    <w:basedOn w:val="a2"/>
    <w:qFormat/>
    <w:rsid w:val="00E4750A"/>
    <w:rPr>
      <w:rFonts w:ascii="Courier New" w:eastAsia="宋体" w:hAnsi="Courier New" w:cs="Courier New"/>
      <w:sz w:val="20"/>
      <w:szCs w:val="20"/>
    </w:rPr>
  </w:style>
  <w:style w:type="paragraph" w:customStyle="1" w:styleId="1">
    <w:name w:val="列出段落1"/>
    <w:basedOn w:val="a1"/>
    <w:qFormat/>
    <w:rsid w:val="00E4750A"/>
    <w:pPr>
      <w:ind w:firstLineChars="200" w:firstLine="200"/>
    </w:pPr>
    <w:rPr>
      <w:szCs w:val="21"/>
    </w:rPr>
  </w:style>
  <w:style w:type="paragraph" w:customStyle="1" w:styleId="af0">
    <w:name w:val="段"/>
    <w:qFormat/>
    <w:rsid w:val="00E4750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a">
    <w:name w:val="章标题"/>
    <w:next w:val="af0"/>
    <w:qFormat/>
    <w:rsid w:val="00E4750A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character" w:customStyle="1" w:styleId="Char1">
    <w:name w:val="批注框文本 Char1"/>
    <w:basedOn w:val="a2"/>
    <w:qFormat/>
    <w:rsid w:val="00E4750A"/>
    <w:rPr>
      <w:rFonts w:ascii="Calibri" w:eastAsia="宋体" w:hAnsi="Calibri" w:cs="Times New Roman"/>
      <w:sz w:val="18"/>
      <w:szCs w:val="18"/>
    </w:rPr>
  </w:style>
  <w:style w:type="character" w:customStyle="1" w:styleId="Char10">
    <w:name w:val="纯文本 Char1"/>
    <w:basedOn w:val="a2"/>
    <w:qFormat/>
    <w:rsid w:val="00E4750A"/>
    <w:rPr>
      <w:rFonts w:ascii="宋体" w:eastAsia="宋体" w:cs="Courier New"/>
      <w:szCs w:val="21"/>
    </w:rPr>
  </w:style>
  <w:style w:type="paragraph" w:customStyle="1" w:styleId="af1">
    <w:name w:val="二级条标题"/>
    <w:basedOn w:val="a1"/>
    <w:next w:val="af0"/>
    <w:qFormat/>
    <w:rsid w:val="00E4750A"/>
    <w:pPr>
      <w:widowControl/>
      <w:jc w:val="left"/>
      <w:outlineLvl w:val="3"/>
    </w:pPr>
    <w:rPr>
      <w:rFonts w:ascii="黑体" w:eastAsia="黑体"/>
      <w:kern w:val="0"/>
      <w:szCs w:val="21"/>
    </w:rPr>
  </w:style>
  <w:style w:type="paragraph" w:customStyle="1" w:styleId="af2">
    <w:name w:val="三级条标题"/>
    <w:basedOn w:val="af1"/>
    <w:next w:val="af0"/>
    <w:qFormat/>
    <w:rsid w:val="00E4750A"/>
    <w:pPr>
      <w:outlineLvl w:val="4"/>
    </w:pPr>
  </w:style>
  <w:style w:type="paragraph" w:customStyle="1" w:styleId="af3">
    <w:name w:val="一级条标题"/>
    <w:next w:val="af0"/>
    <w:qFormat/>
    <w:rsid w:val="00E4750A"/>
    <w:pPr>
      <w:spacing w:beforeLines="50" w:afterLines="50"/>
      <w:ind w:left="315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2">
    <w:name w:val="列出段落2"/>
    <w:basedOn w:val="a1"/>
    <w:qFormat/>
    <w:rsid w:val="00E4750A"/>
    <w:pPr>
      <w:ind w:firstLineChars="200" w:firstLine="200"/>
    </w:pPr>
  </w:style>
  <w:style w:type="paragraph" w:customStyle="1" w:styleId="a0">
    <w:name w:val="三级无"/>
    <w:basedOn w:val="a1"/>
    <w:qFormat/>
    <w:rsid w:val="00E4750A"/>
    <w:pPr>
      <w:widowControl/>
      <w:numPr>
        <w:ilvl w:val="3"/>
        <w:numId w:val="1"/>
      </w:numPr>
      <w:jc w:val="left"/>
      <w:outlineLvl w:val="4"/>
    </w:pPr>
    <w:rPr>
      <w:rFonts w:ascii="宋体"/>
      <w:kern w:val="0"/>
      <w:szCs w:val="21"/>
    </w:rPr>
  </w:style>
  <w:style w:type="paragraph" w:customStyle="1" w:styleId="10">
    <w:name w:val="修订1"/>
    <w:qFormat/>
    <w:rsid w:val="00E4750A"/>
    <w:rPr>
      <w:rFonts w:ascii="Calibri" w:eastAsia="宋体" w:hAnsi="Calibri" w:cs="Times New Roman"/>
      <w:kern w:val="2"/>
      <w:sz w:val="21"/>
      <w:szCs w:val="22"/>
    </w:rPr>
  </w:style>
  <w:style w:type="character" w:customStyle="1" w:styleId="jbox-icon-warning">
    <w:name w:val="jbox-icon-warning"/>
    <w:basedOn w:val="a2"/>
    <w:qFormat/>
    <w:rsid w:val="00E4750A"/>
  </w:style>
  <w:style w:type="character" w:customStyle="1" w:styleId="jbox-icon-error">
    <w:name w:val="jbox-icon-error"/>
    <w:basedOn w:val="a2"/>
    <w:qFormat/>
    <w:rsid w:val="00E4750A"/>
  </w:style>
  <w:style w:type="character" w:customStyle="1" w:styleId="jbox-icon-loading">
    <w:name w:val="jbox-icon-loading"/>
    <w:basedOn w:val="a2"/>
    <w:qFormat/>
    <w:rsid w:val="00E4750A"/>
  </w:style>
  <w:style w:type="character" w:customStyle="1" w:styleId="jbox-icon">
    <w:name w:val="jbox-icon"/>
    <w:basedOn w:val="a2"/>
    <w:qFormat/>
    <w:rsid w:val="00E4750A"/>
  </w:style>
  <w:style w:type="character" w:customStyle="1" w:styleId="jbox-icon-info">
    <w:name w:val="jbox-icon-info"/>
    <w:basedOn w:val="a2"/>
    <w:qFormat/>
    <w:rsid w:val="00E4750A"/>
  </w:style>
  <w:style w:type="character" w:customStyle="1" w:styleId="jbox-icon-question">
    <w:name w:val="jbox-icon-question"/>
    <w:basedOn w:val="a2"/>
    <w:qFormat/>
    <w:rsid w:val="00E4750A"/>
  </w:style>
  <w:style w:type="character" w:customStyle="1" w:styleId="jbox-icon-success">
    <w:name w:val="jbox-icon-success"/>
    <w:basedOn w:val="a2"/>
    <w:qFormat/>
    <w:rsid w:val="00E4750A"/>
  </w:style>
  <w:style w:type="character" w:customStyle="1" w:styleId="jbox-icon-none">
    <w:name w:val="jbox-icon-none"/>
    <w:basedOn w:val="a2"/>
    <w:qFormat/>
    <w:rsid w:val="00E4750A"/>
    <w:rPr>
      <w:vanish/>
    </w:rPr>
  </w:style>
  <w:style w:type="paragraph" w:customStyle="1" w:styleId="af4">
    <w:name w:val="封面标准名称"/>
    <w:rsid w:val="00E4750A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762</Words>
  <Characters>4345</Characters>
  <Application>Microsoft Office Word</Application>
  <DocSecurity>0</DocSecurity>
  <Lines>36</Lines>
  <Paragraphs>10</Paragraphs>
  <ScaleCrop>false</ScaleCrop>
  <Company>Microsoft</Company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23</cp:revision>
  <cp:lastPrinted>2020-10-12T08:19:00Z</cp:lastPrinted>
  <dcterms:created xsi:type="dcterms:W3CDTF">2019-11-14T09:36:00Z</dcterms:created>
  <dcterms:modified xsi:type="dcterms:W3CDTF">2025-01-21T05:57:00Z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