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713" w:rsidRDefault="00446713" w:rsidP="00405BCF">
      <w:pPr>
        <w:pStyle w:val="1"/>
        <w:spacing w:beforeLines="50" w:afterLines="50" w:line="400" w:lineRule="atLeast"/>
        <w:ind w:left="357" w:firstLineChars="0" w:firstLine="0"/>
        <w:contextualSpacing/>
        <w:jc w:val="distribute"/>
        <w:rPr>
          <w:rFonts w:ascii="黑体" w:eastAsia="黑体" w:hAnsi="黑体" w:cs="宋体"/>
          <w:sz w:val="44"/>
          <w:szCs w:val="44"/>
        </w:rPr>
      </w:pPr>
    </w:p>
    <w:p w:rsidR="00446713" w:rsidRDefault="00E72BF7" w:rsidP="00405BCF">
      <w:pPr>
        <w:pStyle w:val="1"/>
        <w:spacing w:beforeLines="50" w:afterLines="50"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rsidR="00446713" w:rsidRDefault="00E72BF7" w:rsidP="00405BCF">
      <w:pPr>
        <w:pStyle w:val="1"/>
        <w:spacing w:beforeLines="50" w:afterLines="50" w:line="400" w:lineRule="atLeast"/>
        <w:ind w:left="357" w:firstLineChars="0" w:firstLine="0"/>
        <w:contextualSpacing/>
        <w:jc w:val="right"/>
        <w:outlineLvl w:val="0"/>
        <w:rPr>
          <w:rFonts w:ascii="黑体" w:eastAsia="黑体" w:hAnsi="黑体" w:cs="宋体"/>
          <w:sz w:val="28"/>
          <w:szCs w:val="28"/>
        </w:rPr>
      </w:pPr>
      <w:r>
        <w:rPr>
          <w:rFonts w:ascii="黑体" w:eastAsia="黑体" w:hAnsi="黑体" w:cs="宋体" w:hint="eastAsia"/>
          <w:sz w:val="28"/>
          <w:szCs w:val="28"/>
        </w:rPr>
        <w:t>LB/T 067-2020</w:t>
      </w:r>
    </w:p>
    <w:p w:rsidR="00446713" w:rsidRDefault="00A96B5F" w:rsidP="00405BCF">
      <w:pPr>
        <w:pStyle w:val="1"/>
        <w:spacing w:beforeLines="50" w:afterLines="50" w:line="400" w:lineRule="atLeast"/>
        <w:ind w:left="357" w:firstLineChars="0" w:firstLine="0"/>
        <w:contextualSpacing/>
        <w:jc w:val="right"/>
        <w:rPr>
          <w:rFonts w:ascii="黑体" w:eastAsia="黑体" w:hAnsi="黑体" w:cs="宋体"/>
          <w:sz w:val="28"/>
          <w:szCs w:val="28"/>
        </w:rPr>
      </w:pPr>
      <w:r>
        <w:rPr>
          <w:rFonts w:ascii="黑体" w:eastAsia="黑体" w:hAnsi="黑体" w:cs="宋体"/>
          <w:noProof/>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12.6pt;margin-top:6pt;width:407.4pt;height:0;z-index:251659264" o:gfxdata="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jhrfQNQAAAAI&#10;AQAADwAAAAAAAAABACAAAAAiAAAAZHJzL2Rvd25yZXYueG1sUEsBAhQAFAAAAAgAh07iQNMXwZLn&#10;AQAArAMAAA4AAAAAAAAAAQAgAAAAIwEAAGRycy9lMm9Eb2MueG1sUEsFBgAAAAAGAAYAWQEAAHwF&#10;AAAAAA==&#10;"/>
        </w:pict>
      </w:r>
    </w:p>
    <w:p w:rsidR="00446713" w:rsidRDefault="00446713" w:rsidP="00405BCF">
      <w:pPr>
        <w:pStyle w:val="1"/>
        <w:spacing w:beforeLines="50" w:afterLines="50" w:line="400" w:lineRule="atLeast"/>
        <w:ind w:left="357" w:firstLineChars="0" w:firstLine="0"/>
        <w:contextualSpacing/>
        <w:jc w:val="center"/>
        <w:rPr>
          <w:rFonts w:ascii="黑体" w:eastAsia="黑体" w:hAnsi="黑体" w:cs="宋体"/>
          <w:sz w:val="32"/>
          <w:szCs w:val="32"/>
        </w:rPr>
      </w:pPr>
    </w:p>
    <w:p w:rsidR="00446713" w:rsidRDefault="00446713" w:rsidP="00405BCF">
      <w:pPr>
        <w:pStyle w:val="1"/>
        <w:spacing w:beforeLines="50" w:afterLines="50" w:line="400" w:lineRule="atLeast"/>
        <w:ind w:left="357" w:firstLineChars="0" w:firstLine="0"/>
        <w:contextualSpacing/>
        <w:jc w:val="center"/>
        <w:rPr>
          <w:rFonts w:ascii="黑体" w:eastAsia="黑体" w:hAnsi="黑体" w:cs="宋体"/>
          <w:sz w:val="32"/>
          <w:szCs w:val="32"/>
        </w:rPr>
      </w:pPr>
    </w:p>
    <w:p w:rsidR="00446713" w:rsidRDefault="00446713" w:rsidP="00405BCF">
      <w:pPr>
        <w:pStyle w:val="1"/>
        <w:spacing w:beforeLines="50" w:afterLines="50" w:line="400" w:lineRule="atLeast"/>
        <w:ind w:left="357" w:firstLineChars="0" w:firstLine="0"/>
        <w:contextualSpacing/>
        <w:jc w:val="center"/>
        <w:rPr>
          <w:rFonts w:ascii="黑体" w:eastAsia="黑体" w:hAnsi="黑体" w:cs="宋体"/>
          <w:sz w:val="32"/>
          <w:szCs w:val="32"/>
        </w:rPr>
      </w:pPr>
    </w:p>
    <w:p w:rsidR="00446713" w:rsidRDefault="00446713" w:rsidP="00405BCF">
      <w:pPr>
        <w:pStyle w:val="1"/>
        <w:spacing w:beforeLines="50" w:afterLines="50" w:line="400" w:lineRule="atLeast"/>
        <w:ind w:left="357" w:firstLineChars="0" w:firstLine="0"/>
        <w:contextualSpacing/>
        <w:jc w:val="center"/>
        <w:rPr>
          <w:rFonts w:ascii="黑体" w:eastAsia="黑体" w:hAnsi="黑体" w:cs="宋体"/>
          <w:sz w:val="32"/>
          <w:szCs w:val="32"/>
        </w:rPr>
      </w:pPr>
    </w:p>
    <w:p w:rsidR="00446713" w:rsidRDefault="00E72BF7" w:rsidP="00405BCF">
      <w:pPr>
        <w:pStyle w:val="1"/>
        <w:spacing w:beforeLines="50" w:afterLines="50" w:line="360" w:lineRule="auto"/>
        <w:ind w:left="357" w:firstLineChars="0" w:firstLine="0"/>
        <w:contextualSpacing/>
        <w:jc w:val="center"/>
        <w:rPr>
          <w:rFonts w:ascii="黑体" w:eastAsia="黑体" w:hAnsi="黑体" w:cs="宋体"/>
          <w:sz w:val="48"/>
          <w:szCs w:val="48"/>
        </w:rPr>
      </w:pPr>
      <w:r>
        <w:rPr>
          <w:rFonts w:ascii="黑体" w:eastAsia="黑体" w:hAnsi="黑体" w:cs="宋体" w:hint="eastAsia"/>
          <w:sz w:val="48"/>
          <w:szCs w:val="48"/>
        </w:rPr>
        <w:t>长江流域</w:t>
      </w:r>
    </w:p>
    <w:p w:rsidR="00446713" w:rsidRDefault="00446713" w:rsidP="00405BCF">
      <w:pPr>
        <w:pStyle w:val="1"/>
        <w:spacing w:beforeLines="50" w:afterLines="50" w:line="360" w:lineRule="auto"/>
        <w:ind w:left="357" w:firstLineChars="0" w:firstLine="0"/>
        <w:contextualSpacing/>
        <w:jc w:val="center"/>
        <w:rPr>
          <w:rFonts w:ascii="黑体" w:eastAsia="黑体" w:hAnsi="黑体" w:cs="宋体"/>
          <w:sz w:val="18"/>
          <w:szCs w:val="18"/>
        </w:rPr>
      </w:pPr>
    </w:p>
    <w:p w:rsidR="00446713" w:rsidRDefault="00E72BF7" w:rsidP="00405BCF">
      <w:pPr>
        <w:pStyle w:val="1"/>
        <w:spacing w:beforeLines="50" w:afterLines="50" w:line="360" w:lineRule="auto"/>
        <w:ind w:left="357" w:firstLineChars="0" w:firstLine="0"/>
        <w:contextualSpacing/>
        <w:jc w:val="center"/>
        <w:rPr>
          <w:rFonts w:ascii="黑体" w:eastAsia="黑体" w:hAnsi="黑体" w:cs="宋体"/>
          <w:sz w:val="48"/>
          <w:szCs w:val="48"/>
        </w:rPr>
      </w:pPr>
      <w:r>
        <w:rPr>
          <w:rFonts w:ascii="黑体" w:eastAsia="黑体" w:hAnsi="黑体" w:hint="eastAsia"/>
          <w:sz w:val="48"/>
          <w:szCs w:val="48"/>
        </w:rPr>
        <w:t>绿色食品</w:t>
      </w:r>
      <w:r>
        <w:rPr>
          <w:rFonts w:ascii="黑体" w:eastAsia="黑体" w:hAnsi="黑体" w:cs="宋体" w:hint="eastAsia"/>
          <w:sz w:val="48"/>
          <w:szCs w:val="48"/>
        </w:rPr>
        <w:t>猕猴桃</w:t>
      </w:r>
      <w:r>
        <w:rPr>
          <w:rFonts w:ascii="黑体" w:eastAsia="黑体" w:hAnsi="黑体" w:hint="eastAsia"/>
          <w:sz w:val="48"/>
          <w:szCs w:val="48"/>
        </w:rPr>
        <w:t>生产操作规程</w:t>
      </w:r>
    </w:p>
    <w:p w:rsidR="00446713" w:rsidRDefault="00446713" w:rsidP="00405BCF">
      <w:pPr>
        <w:pStyle w:val="1"/>
        <w:spacing w:beforeLines="50" w:afterLines="50" w:line="400" w:lineRule="atLeast"/>
        <w:ind w:left="357" w:firstLineChars="0" w:firstLine="0"/>
        <w:contextualSpacing/>
        <w:jc w:val="center"/>
        <w:rPr>
          <w:rFonts w:ascii="黑体" w:eastAsia="黑体" w:hAnsi="黑体" w:cs="宋体"/>
          <w:sz w:val="32"/>
          <w:szCs w:val="32"/>
        </w:rPr>
      </w:pPr>
    </w:p>
    <w:p w:rsidR="00446713" w:rsidRDefault="00446713" w:rsidP="00405BCF">
      <w:pPr>
        <w:pStyle w:val="1"/>
        <w:spacing w:beforeLines="50" w:afterLines="50" w:line="400" w:lineRule="atLeast"/>
        <w:ind w:left="357" w:firstLineChars="0" w:firstLine="0"/>
        <w:contextualSpacing/>
        <w:jc w:val="center"/>
        <w:rPr>
          <w:rFonts w:ascii="黑体" w:eastAsia="黑体" w:hAnsi="黑体" w:cs="宋体"/>
          <w:sz w:val="32"/>
          <w:szCs w:val="32"/>
        </w:rPr>
      </w:pPr>
    </w:p>
    <w:p w:rsidR="00446713" w:rsidRDefault="00446713" w:rsidP="00405BCF">
      <w:pPr>
        <w:pStyle w:val="1"/>
        <w:spacing w:beforeLines="50" w:afterLines="50" w:line="400" w:lineRule="atLeast"/>
        <w:ind w:left="357" w:firstLineChars="0" w:firstLine="0"/>
        <w:contextualSpacing/>
        <w:jc w:val="center"/>
        <w:rPr>
          <w:rFonts w:ascii="黑体" w:eastAsia="黑体" w:hAnsi="黑体" w:cs="宋体"/>
          <w:sz w:val="32"/>
          <w:szCs w:val="32"/>
        </w:rPr>
      </w:pPr>
    </w:p>
    <w:p w:rsidR="00446713" w:rsidRDefault="00446713" w:rsidP="00405BCF">
      <w:pPr>
        <w:pStyle w:val="1"/>
        <w:spacing w:beforeLines="50" w:afterLines="50" w:line="400" w:lineRule="atLeast"/>
        <w:ind w:left="357" w:firstLineChars="0" w:firstLine="0"/>
        <w:contextualSpacing/>
        <w:jc w:val="center"/>
        <w:rPr>
          <w:rFonts w:ascii="黑体" w:eastAsia="黑体" w:hAnsi="黑体" w:cs="宋体"/>
          <w:sz w:val="32"/>
          <w:szCs w:val="32"/>
        </w:rPr>
      </w:pPr>
    </w:p>
    <w:p w:rsidR="00446713" w:rsidRDefault="00446713" w:rsidP="00405BCF">
      <w:pPr>
        <w:pStyle w:val="1"/>
        <w:spacing w:beforeLines="50" w:afterLines="50" w:line="400" w:lineRule="atLeast"/>
        <w:ind w:left="357" w:firstLineChars="0" w:firstLine="0"/>
        <w:contextualSpacing/>
        <w:jc w:val="center"/>
        <w:rPr>
          <w:rFonts w:ascii="黑体" w:eastAsia="黑体" w:hAnsi="黑体" w:cs="宋体"/>
          <w:sz w:val="32"/>
          <w:szCs w:val="32"/>
        </w:rPr>
      </w:pPr>
    </w:p>
    <w:p w:rsidR="00446713" w:rsidRDefault="00446713" w:rsidP="00405BCF">
      <w:pPr>
        <w:pStyle w:val="1"/>
        <w:spacing w:beforeLines="50" w:afterLines="50" w:line="400" w:lineRule="atLeast"/>
        <w:ind w:left="357" w:firstLineChars="0" w:firstLine="0"/>
        <w:contextualSpacing/>
        <w:jc w:val="center"/>
        <w:rPr>
          <w:rFonts w:ascii="黑体" w:eastAsia="黑体" w:hAnsi="黑体" w:cs="宋体"/>
          <w:sz w:val="32"/>
          <w:szCs w:val="32"/>
        </w:rPr>
      </w:pPr>
    </w:p>
    <w:p w:rsidR="00446713" w:rsidRDefault="00446713" w:rsidP="00405BCF">
      <w:pPr>
        <w:pStyle w:val="1"/>
        <w:spacing w:beforeLines="50" w:afterLines="50" w:line="400" w:lineRule="atLeast"/>
        <w:ind w:left="357" w:firstLineChars="0" w:firstLine="0"/>
        <w:contextualSpacing/>
        <w:jc w:val="center"/>
        <w:rPr>
          <w:rFonts w:ascii="黑体" w:eastAsia="黑体" w:hAnsi="黑体" w:cs="宋体"/>
          <w:sz w:val="32"/>
          <w:szCs w:val="32"/>
        </w:rPr>
      </w:pPr>
    </w:p>
    <w:p w:rsidR="00446713" w:rsidRDefault="00E72BF7" w:rsidP="00405BCF">
      <w:pPr>
        <w:pStyle w:val="1"/>
        <w:spacing w:beforeLines="50" w:afterLines="50" w:line="400" w:lineRule="atLeast"/>
        <w:ind w:left="357" w:firstLineChars="0" w:firstLine="0"/>
        <w:contextualSpacing/>
        <w:jc w:val="left"/>
        <w:rPr>
          <w:rFonts w:ascii="黑体" w:eastAsia="黑体" w:hAnsi="黑体" w:cs="宋体"/>
          <w:sz w:val="28"/>
          <w:szCs w:val="28"/>
        </w:rPr>
      </w:pPr>
      <w:r>
        <w:rPr>
          <w:rFonts w:ascii="黑体" w:eastAsia="黑体" w:hAnsi="黑体" w:cs="宋体" w:hint="eastAsia"/>
          <w:sz w:val="28"/>
          <w:szCs w:val="28"/>
        </w:rPr>
        <w:t>2020-08-20发布                      2020-11-01实施</w:t>
      </w:r>
    </w:p>
    <w:p w:rsidR="00446713" w:rsidRDefault="00A96B5F" w:rsidP="00405BCF">
      <w:pPr>
        <w:pStyle w:val="1"/>
        <w:spacing w:beforeLines="50" w:afterLines="50" w:line="400" w:lineRule="atLeast"/>
        <w:ind w:left="357" w:firstLineChars="0" w:firstLine="0"/>
        <w:contextualSpacing/>
        <w:jc w:val="left"/>
        <w:rPr>
          <w:rFonts w:ascii="黑体" w:eastAsia="黑体" w:hAnsi="黑体" w:cs="宋体"/>
          <w:sz w:val="24"/>
          <w:szCs w:val="24"/>
        </w:rPr>
      </w:pPr>
      <w:r>
        <w:rPr>
          <w:rFonts w:ascii="黑体" w:eastAsia="黑体" w:hAnsi="黑体" w:cs="宋体"/>
          <w:noProof/>
          <w:sz w:val="24"/>
          <w:szCs w:val="24"/>
        </w:rPr>
        <w:pict>
          <v:shape id="_x0000_s1027" type="#_x0000_t32" style="position:absolute;left:0;text-align:left;margin-left:16.2pt;margin-top:9pt;width:382.2pt;height:1.2pt;z-index:251658240" o:gfxdata="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RqLaR&#10;1wAAAAgBAAAPAAAAAAAAAAEAIAAAACIAAABkcnMvZG93bnJldi54bWxQSwECFAAUAAAACACHTuJA&#10;F3YEPOkBAACwAwAADgAAAAAAAAABACAAAAAmAQAAZHJzL2Uyb0RvYy54bWxQSwUGAAAAAAYABgBZ&#10;AQAAgQUAAAAA&#10;"/>
        </w:pict>
      </w:r>
    </w:p>
    <w:p w:rsidR="00446713" w:rsidRDefault="00E72BF7" w:rsidP="00405BCF">
      <w:pPr>
        <w:pStyle w:val="1"/>
        <w:spacing w:beforeLines="50" w:afterLines="50" w:line="400" w:lineRule="atLeast"/>
        <w:ind w:left="357" w:firstLineChars="0" w:firstLine="0"/>
        <w:contextualSpacing/>
        <w:jc w:val="center"/>
        <w:rPr>
          <w:rFonts w:ascii="黑体" w:eastAsia="黑体" w:hAnsi="黑体" w:cs="宋体"/>
          <w:sz w:val="28"/>
          <w:szCs w:val="28"/>
        </w:rPr>
      </w:pPr>
      <w:r>
        <w:rPr>
          <w:rFonts w:ascii="华文中宋" w:eastAsia="华文中宋" w:hAnsi="华文中宋" w:cs="宋体" w:hint="eastAsia"/>
          <w:spacing w:val="71"/>
          <w:kern w:val="0"/>
          <w:sz w:val="32"/>
          <w:szCs w:val="32"/>
          <w:fitText w:val="4480"/>
        </w:rPr>
        <w:t>中国绿色食品发展中</w:t>
      </w:r>
      <w:r>
        <w:rPr>
          <w:rFonts w:ascii="华文中宋" w:eastAsia="华文中宋" w:hAnsi="华文中宋" w:cs="宋体" w:hint="eastAsia"/>
          <w:spacing w:val="1"/>
          <w:kern w:val="0"/>
          <w:sz w:val="32"/>
          <w:szCs w:val="32"/>
          <w:fitText w:val="4480"/>
        </w:rPr>
        <w:t>心</w:t>
      </w:r>
      <w:r>
        <w:rPr>
          <w:rFonts w:ascii="黑体" w:eastAsia="黑体" w:hAnsi="黑体" w:cs="宋体" w:hint="eastAsia"/>
          <w:sz w:val="28"/>
          <w:szCs w:val="28"/>
        </w:rPr>
        <w:t>发 布</w:t>
      </w:r>
    </w:p>
    <w:p w:rsidR="00446713" w:rsidRDefault="00446713" w:rsidP="00405BCF">
      <w:pPr>
        <w:pStyle w:val="1"/>
        <w:spacing w:beforeLines="50" w:afterLines="50" w:line="400" w:lineRule="atLeast"/>
        <w:ind w:left="357" w:firstLineChars="0" w:firstLine="0"/>
        <w:contextualSpacing/>
        <w:jc w:val="center"/>
        <w:rPr>
          <w:rFonts w:ascii="黑体" w:eastAsia="黑体" w:hAnsi="黑体" w:cs="宋体"/>
          <w:sz w:val="28"/>
          <w:szCs w:val="28"/>
        </w:rPr>
      </w:pPr>
    </w:p>
    <w:p w:rsidR="00446713" w:rsidRDefault="00446713" w:rsidP="00405BCF">
      <w:pPr>
        <w:pStyle w:val="1"/>
        <w:spacing w:beforeLines="50" w:afterLines="50" w:line="400" w:lineRule="atLeast"/>
        <w:ind w:firstLineChars="0" w:firstLine="0"/>
        <w:contextualSpacing/>
        <w:rPr>
          <w:rFonts w:ascii="宋体" w:hAnsi="宋体" w:cs="宋体"/>
          <w:sz w:val="28"/>
          <w:szCs w:val="28"/>
        </w:rPr>
      </w:pPr>
    </w:p>
    <w:p w:rsidR="00446713" w:rsidRDefault="00446713" w:rsidP="00405BCF">
      <w:pPr>
        <w:pStyle w:val="1"/>
        <w:spacing w:beforeLines="50" w:afterLines="50" w:line="400" w:lineRule="atLeast"/>
        <w:ind w:left="357" w:firstLineChars="0" w:firstLine="0"/>
        <w:contextualSpacing/>
        <w:jc w:val="center"/>
        <w:rPr>
          <w:rFonts w:ascii="黑体" w:eastAsia="黑体" w:hAnsi="黑体" w:cs="宋体"/>
          <w:sz w:val="32"/>
          <w:szCs w:val="32"/>
        </w:rPr>
      </w:pPr>
    </w:p>
    <w:p w:rsidR="00446713" w:rsidRDefault="00E72BF7" w:rsidP="00405BCF">
      <w:pPr>
        <w:pStyle w:val="1"/>
        <w:spacing w:beforeLines="50" w:afterLines="50"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rsidR="00446713" w:rsidRDefault="00446713" w:rsidP="00405BCF">
      <w:pPr>
        <w:pStyle w:val="1"/>
        <w:spacing w:beforeLines="50" w:afterLines="50" w:line="400" w:lineRule="atLeast"/>
        <w:ind w:left="357" w:firstLineChars="0" w:firstLine="0"/>
        <w:contextualSpacing/>
        <w:jc w:val="center"/>
        <w:rPr>
          <w:rFonts w:ascii="黑体" w:eastAsia="黑体" w:hAnsi="黑体" w:cs="宋体"/>
          <w:sz w:val="32"/>
          <w:szCs w:val="32"/>
        </w:rPr>
      </w:pPr>
    </w:p>
    <w:p w:rsidR="00446713" w:rsidRDefault="00E72BF7" w:rsidP="00405BCF">
      <w:pPr>
        <w:pStyle w:val="1"/>
        <w:spacing w:beforeLines="50" w:afterLines="50" w:line="400" w:lineRule="atLeast"/>
        <w:contextualSpacing/>
        <w:jc w:val="left"/>
        <w:rPr>
          <w:rFonts w:ascii="宋体" w:hAnsi="宋体" w:cs="宋体"/>
        </w:rPr>
      </w:pPr>
      <w:r>
        <w:rPr>
          <w:rFonts w:ascii="宋体" w:hAnsi="宋体" w:cs="宋体" w:hint="eastAsia"/>
        </w:rPr>
        <w:t>本规程由中国绿色食品发展中心提出并归口。</w:t>
      </w:r>
    </w:p>
    <w:p w:rsidR="00446713" w:rsidRDefault="00E72BF7" w:rsidP="00405BCF">
      <w:pPr>
        <w:pStyle w:val="1"/>
        <w:spacing w:beforeLines="50" w:afterLines="50" w:line="400" w:lineRule="atLeast"/>
        <w:contextualSpacing/>
        <w:jc w:val="left"/>
        <w:rPr>
          <w:rFonts w:ascii="宋体" w:hAnsi="宋体" w:cs="宋体"/>
        </w:rPr>
      </w:pPr>
      <w:r>
        <w:rPr>
          <w:rFonts w:ascii="宋体" w:hAnsi="宋体" w:cs="宋体" w:hint="eastAsia"/>
        </w:rPr>
        <w:t>本规程起草单位：四川省绿色食品发展中心、西南大学、四川苍溪猕猴桃研究所、中国绿色食品发展中心、</w:t>
      </w:r>
      <w:r>
        <w:rPr>
          <w:rFonts w:hint="eastAsia"/>
          <w:kern w:val="0"/>
        </w:rPr>
        <w:t>湖北省绿色食品发展中心</w:t>
      </w:r>
      <w:r>
        <w:rPr>
          <w:rFonts w:ascii="宋体" w:hAnsi="宋体" w:cs="宋体" w:hint="eastAsia"/>
        </w:rPr>
        <w:t>。</w:t>
      </w:r>
    </w:p>
    <w:p w:rsidR="00446713" w:rsidRDefault="00E72BF7" w:rsidP="00405BCF">
      <w:pPr>
        <w:pStyle w:val="1"/>
        <w:spacing w:beforeLines="50" w:afterLines="50" w:line="400" w:lineRule="atLeast"/>
        <w:contextualSpacing/>
        <w:jc w:val="left"/>
        <w:rPr>
          <w:rFonts w:ascii="宋体" w:hAnsi="宋体" w:cs="宋体"/>
        </w:rPr>
      </w:pPr>
      <w:r>
        <w:rPr>
          <w:rFonts w:ascii="宋体" w:hAnsi="宋体" w:cs="宋体" w:hint="eastAsia"/>
        </w:rPr>
        <w:t>本规程主要起草人：曾海山、曾明、何仕松、张志华、宫凤影、郭征球、邓小松、周熙、孟芳。</w:t>
      </w:r>
    </w:p>
    <w:p w:rsidR="00446713" w:rsidRDefault="00446713" w:rsidP="00405BCF">
      <w:pPr>
        <w:pStyle w:val="1"/>
        <w:spacing w:beforeLines="50" w:afterLines="50" w:line="400" w:lineRule="atLeast"/>
        <w:ind w:firstLine="560"/>
        <w:contextualSpacing/>
        <w:jc w:val="left"/>
        <w:rPr>
          <w:rFonts w:ascii="宋体" w:hAnsi="宋体" w:cs="宋体"/>
          <w:sz w:val="28"/>
          <w:szCs w:val="28"/>
        </w:rPr>
      </w:pPr>
    </w:p>
    <w:p w:rsidR="00446713" w:rsidRDefault="00446713" w:rsidP="00405BCF">
      <w:pPr>
        <w:pStyle w:val="1"/>
        <w:spacing w:beforeLines="50" w:afterLines="50" w:line="400" w:lineRule="atLeast"/>
        <w:ind w:left="357" w:firstLineChars="0" w:firstLine="0"/>
        <w:contextualSpacing/>
        <w:rPr>
          <w:rFonts w:ascii="宋体" w:hAnsi="宋体" w:cs="宋体"/>
          <w:sz w:val="28"/>
          <w:szCs w:val="28"/>
        </w:rPr>
      </w:pPr>
    </w:p>
    <w:p w:rsidR="00446713" w:rsidRDefault="00446713" w:rsidP="00405BCF">
      <w:pPr>
        <w:pStyle w:val="1"/>
        <w:spacing w:beforeLines="50" w:afterLines="50" w:line="400" w:lineRule="atLeast"/>
        <w:ind w:firstLine="560"/>
        <w:contextualSpacing/>
        <w:jc w:val="left"/>
        <w:rPr>
          <w:rFonts w:ascii="宋体" w:hAnsi="宋体" w:cs="宋体"/>
          <w:sz w:val="28"/>
          <w:szCs w:val="28"/>
        </w:rPr>
      </w:pPr>
    </w:p>
    <w:p w:rsidR="00446713" w:rsidRDefault="00446713" w:rsidP="00405BCF">
      <w:pPr>
        <w:pStyle w:val="1"/>
        <w:spacing w:beforeLines="50" w:afterLines="50" w:line="400" w:lineRule="atLeast"/>
        <w:ind w:firstLine="560"/>
        <w:contextualSpacing/>
        <w:jc w:val="left"/>
        <w:rPr>
          <w:rFonts w:ascii="宋体" w:hAnsi="宋体" w:cs="宋体"/>
          <w:sz w:val="28"/>
          <w:szCs w:val="28"/>
        </w:rPr>
      </w:pPr>
    </w:p>
    <w:p w:rsidR="00446713" w:rsidRDefault="00446713" w:rsidP="00405BCF">
      <w:pPr>
        <w:pStyle w:val="1"/>
        <w:spacing w:beforeLines="50" w:afterLines="50" w:line="400" w:lineRule="atLeast"/>
        <w:ind w:firstLine="560"/>
        <w:contextualSpacing/>
        <w:jc w:val="left"/>
        <w:rPr>
          <w:rFonts w:ascii="宋体" w:hAnsi="宋体" w:cs="宋体"/>
          <w:sz w:val="28"/>
          <w:szCs w:val="28"/>
        </w:rPr>
      </w:pPr>
    </w:p>
    <w:p w:rsidR="00446713" w:rsidRDefault="00446713" w:rsidP="00405BCF">
      <w:pPr>
        <w:pStyle w:val="1"/>
        <w:spacing w:beforeLines="50" w:afterLines="50" w:line="400" w:lineRule="atLeast"/>
        <w:ind w:firstLine="560"/>
        <w:contextualSpacing/>
        <w:jc w:val="left"/>
        <w:rPr>
          <w:rFonts w:ascii="宋体" w:hAnsi="宋体" w:cs="宋体"/>
          <w:sz w:val="28"/>
          <w:szCs w:val="28"/>
        </w:rPr>
      </w:pPr>
    </w:p>
    <w:p w:rsidR="00446713" w:rsidRDefault="00446713" w:rsidP="00405BCF">
      <w:pPr>
        <w:pStyle w:val="1"/>
        <w:spacing w:beforeLines="50" w:afterLines="50" w:line="400" w:lineRule="atLeast"/>
        <w:ind w:firstLine="560"/>
        <w:contextualSpacing/>
        <w:jc w:val="left"/>
        <w:rPr>
          <w:rFonts w:ascii="宋体" w:hAnsi="宋体" w:cs="宋体"/>
          <w:sz w:val="28"/>
          <w:szCs w:val="28"/>
        </w:rPr>
      </w:pPr>
    </w:p>
    <w:p w:rsidR="00446713" w:rsidRDefault="00446713" w:rsidP="00405BCF">
      <w:pPr>
        <w:pStyle w:val="1"/>
        <w:spacing w:beforeLines="50" w:afterLines="50" w:line="400" w:lineRule="atLeast"/>
        <w:ind w:firstLine="560"/>
        <w:contextualSpacing/>
        <w:jc w:val="left"/>
        <w:rPr>
          <w:rFonts w:ascii="宋体" w:hAnsi="宋体" w:cs="宋体"/>
          <w:sz w:val="28"/>
          <w:szCs w:val="28"/>
        </w:rPr>
      </w:pPr>
    </w:p>
    <w:p w:rsidR="00446713" w:rsidRDefault="00446713" w:rsidP="00405BCF">
      <w:pPr>
        <w:pStyle w:val="1"/>
        <w:spacing w:beforeLines="50" w:afterLines="50" w:line="400" w:lineRule="atLeast"/>
        <w:ind w:firstLine="560"/>
        <w:contextualSpacing/>
        <w:jc w:val="left"/>
        <w:rPr>
          <w:rFonts w:ascii="宋体" w:hAnsi="宋体" w:cs="宋体"/>
          <w:sz w:val="28"/>
          <w:szCs w:val="28"/>
        </w:rPr>
      </w:pPr>
    </w:p>
    <w:p w:rsidR="00446713" w:rsidRDefault="00446713" w:rsidP="00405BCF">
      <w:pPr>
        <w:pStyle w:val="1"/>
        <w:spacing w:beforeLines="50" w:afterLines="50" w:line="400" w:lineRule="atLeast"/>
        <w:ind w:firstLine="560"/>
        <w:contextualSpacing/>
        <w:jc w:val="left"/>
        <w:rPr>
          <w:rFonts w:ascii="宋体" w:hAnsi="宋体" w:cs="宋体"/>
          <w:sz w:val="28"/>
          <w:szCs w:val="28"/>
        </w:rPr>
      </w:pPr>
    </w:p>
    <w:p w:rsidR="00446713" w:rsidRDefault="00446713" w:rsidP="00405BCF">
      <w:pPr>
        <w:pStyle w:val="1"/>
        <w:spacing w:beforeLines="50" w:afterLines="50" w:line="400" w:lineRule="atLeast"/>
        <w:ind w:firstLine="560"/>
        <w:contextualSpacing/>
        <w:jc w:val="left"/>
        <w:rPr>
          <w:rFonts w:ascii="宋体" w:hAnsi="宋体" w:cs="宋体"/>
          <w:sz w:val="28"/>
          <w:szCs w:val="28"/>
        </w:rPr>
      </w:pPr>
    </w:p>
    <w:p w:rsidR="00446713" w:rsidRDefault="00446713" w:rsidP="00405BCF">
      <w:pPr>
        <w:pStyle w:val="1"/>
        <w:spacing w:beforeLines="50" w:afterLines="50" w:line="400" w:lineRule="atLeast"/>
        <w:ind w:firstLine="560"/>
        <w:contextualSpacing/>
        <w:jc w:val="left"/>
        <w:rPr>
          <w:rFonts w:ascii="宋体" w:hAnsi="宋体" w:cs="宋体"/>
          <w:sz w:val="28"/>
          <w:szCs w:val="28"/>
        </w:rPr>
      </w:pPr>
    </w:p>
    <w:p w:rsidR="00446713" w:rsidRDefault="00446713" w:rsidP="00405BCF">
      <w:pPr>
        <w:pStyle w:val="1"/>
        <w:spacing w:beforeLines="50" w:afterLines="50" w:line="400" w:lineRule="atLeast"/>
        <w:ind w:firstLine="560"/>
        <w:contextualSpacing/>
        <w:jc w:val="left"/>
        <w:rPr>
          <w:rFonts w:ascii="宋体" w:hAnsi="宋体" w:cs="宋体"/>
          <w:sz w:val="28"/>
          <w:szCs w:val="28"/>
        </w:rPr>
      </w:pPr>
    </w:p>
    <w:p w:rsidR="00446713" w:rsidRDefault="00446713" w:rsidP="00405BCF">
      <w:pPr>
        <w:pStyle w:val="1"/>
        <w:spacing w:beforeLines="50" w:afterLines="50" w:line="400" w:lineRule="atLeast"/>
        <w:ind w:firstLine="560"/>
        <w:contextualSpacing/>
        <w:jc w:val="left"/>
        <w:rPr>
          <w:rFonts w:ascii="宋体" w:hAnsi="宋体" w:cs="宋体"/>
          <w:sz w:val="28"/>
          <w:szCs w:val="28"/>
        </w:rPr>
      </w:pPr>
    </w:p>
    <w:p w:rsidR="00446713" w:rsidRDefault="00446713" w:rsidP="00405BCF">
      <w:pPr>
        <w:pStyle w:val="1"/>
        <w:spacing w:beforeLines="50" w:afterLines="50" w:line="400" w:lineRule="atLeast"/>
        <w:ind w:firstLine="560"/>
        <w:contextualSpacing/>
        <w:jc w:val="left"/>
        <w:rPr>
          <w:rFonts w:ascii="宋体" w:hAnsi="宋体" w:cs="宋体"/>
          <w:sz w:val="28"/>
          <w:szCs w:val="28"/>
        </w:rPr>
      </w:pPr>
    </w:p>
    <w:p w:rsidR="00446713" w:rsidRDefault="00E72BF7" w:rsidP="00405BCF">
      <w:pPr>
        <w:pStyle w:val="1"/>
        <w:spacing w:beforeLines="50" w:afterLines="50"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lastRenderedPageBreak/>
        <w:t>长江流域</w:t>
      </w:r>
    </w:p>
    <w:p w:rsidR="00446713" w:rsidRDefault="00E72BF7" w:rsidP="00405BCF">
      <w:pPr>
        <w:pStyle w:val="1"/>
        <w:spacing w:beforeLines="50" w:afterLines="50" w:line="400" w:lineRule="atLeast"/>
        <w:ind w:left="357" w:firstLineChars="0" w:firstLine="0"/>
        <w:contextualSpacing/>
        <w:jc w:val="center"/>
        <w:rPr>
          <w:rFonts w:ascii="黑体" w:eastAsia="黑体" w:hAnsi="黑体"/>
          <w:sz w:val="32"/>
          <w:szCs w:val="32"/>
        </w:rPr>
      </w:pPr>
      <w:r>
        <w:rPr>
          <w:rFonts w:ascii="黑体" w:eastAsia="黑体" w:hAnsi="黑体" w:hint="eastAsia"/>
          <w:sz w:val="32"/>
          <w:szCs w:val="32"/>
        </w:rPr>
        <w:t>绿色食品</w:t>
      </w:r>
      <w:r>
        <w:rPr>
          <w:rFonts w:ascii="黑体" w:eastAsia="黑体" w:hAnsi="黑体" w:cs="宋体" w:hint="eastAsia"/>
          <w:sz w:val="32"/>
          <w:szCs w:val="32"/>
        </w:rPr>
        <w:t>猕猴桃</w:t>
      </w:r>
      <w:r>
        <w:rPr>
          <w:rFonts w:ascii="黑体" w:eastAsia="黑体" w:hAnsi="黑体" w:hint="eastAsia"/>
          <w:sz w:val="32"/>
          <w:szCs w:val="32"/>
        </w:rPr>
        <w:t>生产操作规程</w:t>
      </w:r>
    </w:p>
    <w:p w:rsidR="00446713" w:rsidRDefault="00446713" w:rsidP="00405BCF">
      <w:pPr>
        <w:pStyle w:val="1"/>
        <w:spacing w:beforeLines="50" w:afterLines="50" w:line="400" w:lineRule="atLeast"/>
        <w:ind w:left="357" w:firstLineChars="0" w:firstLine="0"/>
        <w:contextualSpacing/>
        <w:jc w:val="center"/>
        <w:rPr>
          <w:rFonts w:ascii="宋体" w:hAnsi="宋体" w:cs="宋体"/>
          <w:sz w:val="28"/>
          <w:szCs w:val="28"/>
        </w:rPr>
      </w:pP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1 范围</w:t>
      </w:r>
    </w:p>
    <w:p w:rsidR="00446713" w:rsidRDefault="00E72BF7" w:rsidP="00405BCF">
      <w:pPr>
        <w:pStyle w:val="1"/>
        <w:spacing w:beforeLines="50" w:afterLines="50" w:line="400" w:lineRule="atLeast"/>
        <w:contextualSpacing/>
        <w:rPr>
          <w:rFonts w:ascii="黑体" w:eastAsia="黑体" w:hAnsi="黑体" w:cs="黑体"/>
          <w:color w:val="FF0000"/>
        </w:rPr>
      </w:pPr>
      <w:r>
        <w:rPr>
          <w:rFonts w:asciiTheme="minorEastAsia" w:eastAsiaTheme="minorEastAsia" w:hAnsiTheme="minorEastAsia" w:cs="宋体" w:hint="eastAsia"/>
        </w:rPr>
        <w:t>本规程规定了长江流域绿色食品猕猴桃的产地环境、</w:t>
      </w:r>
      <w:r>
        <w:rPr>
          <w:rFonts w:asciiTheme="minorEastAsia" w:eastAsiaTheme="minorEastAsia" w:hAnsiTheme="minorEastAsia" w:cs="黑体" w:hint="eastAsia"/>
        </w:rPr>
        <w:t>园地选择与建园</w:t>
      </w:r>
      <w:r>
        <w:rPr>
          <w:rFonts w:asciiTheme="minorEastAsia" w:eastAsiaTheme="minorEastAsia" w:hAnsiTheme="minorEastAsia" w:cs="宋体" w:hint="eastAsia"/>
        </w:rPr>
        <w:t>、</w:t>
      </w:r>
      <w:r>
        <w:rPr>
          <w:rFonts w:asciiTheme="minorEastAsia" w:eastAsiaTheme="minorEastAsia" w:hAnsiTheme="minorEastAsia" w:cs="黑体" w:hint="eastAsia"/>
        </w:rPr>
        <w:t>栽培管理技术</w:t>
      </w:r>
      <w:r>
        <w:rPr>
          <w:rFonts w:asciiTheme="minorEastAsia" w:eastAsiaTheme="minorEastAsia" w:hAnsiTheme="minorEastAsia" w:cs="宋体" w:hint="eastAsia"/>
        </w:rPr>
        <w:t>、</w:t>
      </w:r>
      <w:r>
        <w:rPr>
          <w:rFonts w:asciiTheme="minorEastAsia" w:eastAsiaTheme="minorEastAsia" w:hAnsiTheme="minorEastAsia" w:cs="黑体" w:hint="eastAsia"/>
        </w:rPr>
        <w:t>病虫害防治</w:t>
      </w:r>
      <w:r>
        <w:rPr>
          <w:rFonts w:asciiTheme="minorEastAsia" w:eastAsiaTheme="minorEastAsia" w:hAnsiTheme="minorEastAsia" w:cs="宋体" w:hint="eastAsia"/>
        </w:rPr>
        <w:t>、</w:t>
      </w:r>
      <w:r>
        <w:rPr>
          <w:rFonts w:asciiTheme="minorEastAsia" w:eastAsiaTheme="minorEastAsia" w:hAnsiTheme="minorEastAsia" w:cs="黑体" w:hint="eastAsia"/>
        </w:rPr>
        <w:t>采收</w:t>
      </w:r>
      <w:r>
        <w:rPr>
          <w:rFonts w:asciiTheme="minorEastAsia" w:eastAsiaTheme="minorEastAsia" w:hAnsiTheme="minorEastAsia" w:cs="宋体" w:hint="eastAsia"/>
        </w:rPr>
        <w:t>、</w:t>
      </w:r>
      <w:r>
        <w:rPr>
          <w:rFonts w:asciiTheme="minorEastAsia" w:eastAsiaTheme="minorEastAsia" w:hAnsiTheme="minorEastAsia" w:cs="黑体" w:hint="eastAsia"/>
        </w:rPr>
        <w:t>生产废弃物的处理</w:t>
      </w:r>
      <w:r>
        <w:rPr>
          <w:rFonts w:asciiTheme="minorEastAsia" w:eastAsiaTheme="minorEastAsia" w:hAnsiTheme="minorEastAsia" w:cs="宋体" w:hint="eastAsia"/>
        </w:rPr>
        <w:t>、</w:t>
      </w:r>
      <w:r>
        <w:rPr>
          <w:rFonts w:asciiTheme="minorEastAsia" w:eastAsiaTheme="minorEastAsia" w:hAnsiTheme="minorEastAsia" w:cs="黑体" w:hint="eastAsia"/>
        </w:rPr>
        <w:t>运输储藏</w:t>
      </w:r>
      <w:r>
        <w:rPr>
          <w:rFonts w:asciiTheme="minorEastAsia" w:eastAsiaTheme="minorEastAsia" w:hAnsiTheme="minorEastAsia" w:cs="宋体" w:hint="eastAsia"/>
        </w:rPr>
        <w:t>和</w:t>
      </w:r>
      <w:r>
        <w:rPr>
          <w:rFonts w:asciiTheme="minorEastAsia" w:eastAsiaTheme="minorEastAsia" w:hAnsiTheme="minorEastAsia" w:cs="黑体" w:hint="eastAsia"/>
        </w:rPr>
        <w:t>生产档案管理</w:t>
      </w:r>
      <w:r>
        <w:rPr>
          <w:rFonts w:asciiTheme="minorEastAsia" w:eastAsiaTheme="minorEastAsia" w:hAnsiTheme="minorEastAsia" w:cs="宋体" w:hint="eastAsia"/>
        </w:rPr>
        <w:t>。</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本规程适用于上海、江苏、浙江、安徽、江西、湖北、湖南和四川等省（市）的绿色食品猕猴桃生产。</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2 规范性引用文件</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下列文件对于本文件的应用是必不可少的。凡是注日期的引用文件，仅注日期的版本适用于本文件。凡是不注日期的引用文件，其最新版本（包括所有的修改单）适用于本文件。</w:t>
      </w:r>
    </w:p>
    <w:p w:rsidR="00446713" w:rsidRDefault="00E72BF7" w:rsidP="00405BCF">
      <w:pPr>
        <w:pStyle w:val="1"/>
        <w:spacing w:beforeLines="50" w:afterLines="50" w:line="400" w:lineRule="atLeast"/>
        <w:contextualSpacing/>
        <w:rPr>
          <w:rFonts w:ascii="宋体" w:hAnsi="宋体" w:cs="宋体"/>
        </w:rPr>
      </w:pPr>
      <w:r>
        <w:rPr>
          <w:rFonts w:ascii="宋体" w:hAnsi="宋体" w:cs="宋体"/>
        </w:rPr>
        <w:t xml:space="preserve">NY/T 391  </w:t>
      </w:r>
      <w:r>
        <w:rPr>
          <w:rFonts w:ascii="宋体" w:hAnsi="宋体" w:cs="宋体" w:hint="eastAsia"/>
        </w:rPr>
        <w:t>绿色食品 产地环境质量</w:t>
      </w:r>
    </w:p>
    <w:p w:rsidR="00446713" w:rsidRDefault="00E72BF7" w:rsidP="00405BCF">
      <w:pPr>
        <w:pStyle w:val="1"/>
        <w:spacing w:beforeLines="50" w:afterLines="50" w:line="400" w:lineRule="atLeast"/>
        <w:contextualSpacing/>
        <w:rPr>
          <w:rFonts w:ascii="宋体" w:hAnsi="宋体" w:cs="宋体"/>
        </w:rPr>
      </w:pPr>
      <w:r>
        <w:rPr>
          <w:rFonts w:ascii="宋体" w:hAnsi="宋体" w:cs="宋体"/>
        </w:rPr>
        <w:t xml:space="preserve">NY/T 393  </w:t>
      </w:r>
      <w:r>
        <w:rPr>
          <w:rFonts w:ascii="宋体" w:hAnsi="宋体" w:cs="宋体" w:hint="eastAsia"/>
        </w:rPr>
        <w:t>绿色食品 农药使用准则</w:t>
      </w:r>
    </w:p>
    <w:p w:rsidR="00446713" w:rsidRDefault="00E72BF7" w:rsidP="00405BCF">
      <w:pPr>
        <w:pStyle w:val="1"/>
        <w:spacing w:beforeLines="50" w:afterLines="50" w:line="400" w:lineRule="atLeast"/>
        <w:contextualSpacing/>
        <w:rPr>
          <w:rFonts w:ascii="宋体" w:hAnsi="宋体" w:cs="宋体"/>
        </w:rPr>
      </w:pPr>
      <w:r>
        <w:rPr>
          <w:rFonts w:ascii="宋体" w:hAnsi="宋体" w:cs="宋体"/>
        </w:rPr>
        <w:t xml:space="preserve">NY/T 394  </w:t>
      </w:r>
      <w:r>
        <w:rPr>
          <w:rFonts w:ascii="宋体" w:hAnsi="宋体" w:cs="宋体" w:hint="eastAsia"/>
        </w:rPr>
        <w:t>绿色食品 肥料使用准则</w:t>
      </w:r>
    </w:p>
    <w:p w:rsidR="00446713" w:rsidRDefault="00E72BF7" w:rsidP="00405BCF">
      <w:pPr>
        <w:pStyle w:val="1"/>
        <w:spacing w:beforeLines="50" w:afterLines="50" w:line="400" w:lineRule="atLeast"/>
        <w:contextualSpacing/>
        <w:rPr>
          <w:rFonts w:ascii="宋体" w:hAnsi="宋体" w:cs="宋体"/>
        </w:rPr>
      </w:pPr>
      <w:r>
        <w:rPr>
          <w:rFonts w:ascii="宋体" w:hAnsi="宋体" w:cs="宋体"/>
        </w:rPr>
        <w:t xml:space="preserve">NY/T </w:t>
      </w:r>
      <w:r>
        <w:rPr>
          <w:rFonts w:ascii="宋体" w:hAnsi="宋体" w:cs="宋体" w:hint="eastAsia"/>
        </w:rPr>
        <w:t>844  绿色食品 温带水果</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3 产地环境</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根据中华猕猴桃和美味猕猴桃野生居群分布情况，选择海拔在300～1200m，年平均气温在12～17℃，无霜期180d以上，年降雨量在800mm以上，为中华猕猴桃和美味猕猴桃集中分布区。土壤类型多属于富铝土纲的黄壤、淋溶土纲中的黄棕壤，初育土纲中的紫色土、各类水稻土等几种类型中的一种或混合成土。</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4  园地选择与建园</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4.1  园地选择</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4.1.1  土壤条件</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土壤耕层深厚、排灌方便、透气和理化性状良好，pH5.5～7.0，有机质、全氮、有效磷、有效钾含量达到NY/T 391规定的二级以上的砂壤土或壤土。</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4.1.2  气候条件</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美味猕猴桃系列品种：海拔1200 m以下，年平均气温12 ℃～17 ℃，避风地带。</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中华猕猴桃系列品种：海拔1100 m以下，年平均气温13 ℃～17 ℃，避风地带。</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4.1.3  水利条件</w:t>
      </w:r>
    </w:p>
    <w:p w:rsidR="00446713" w:rsidRDefault="00E72BF7" w:rsidP="00405BCF">
      <w:pPr>
        <w:pStyle w:val="1"/>
        <w:spacing w:beforeLines="50" w:afterLines="50" w:line="400" w:lineRule="atLeast"/>
        <w:contextualSpacing/>
        <w:rPr>
          <w:rFonts w:ascii="宋体" w:hAnsi="宋体" w:cs="宋体"/>
          <w:color w:val="FF0000"/>
        </w:rPr>
      </w:pPr>
      <w:r>
        <w:rPr>
          <w:rFonts w:ascii="宋体" w:hAnsi="宋体" w:cs="宋体" w:hint="eastAsia"/>
        </w:rPr>
        <w:t>附近1000m范围内有小型水库或相同容量塘、堰，水质标准达到</w:t>
      </w:r>
      <w:hyperlink r:id="rId5" w:tgtFrame="https://www.sogou.com/_blank" w:history="1">
        <w:r>
          <w:rPr>
            <w:rFonts w:ascii="宋体" w:hAnsi="宋体" w:cs="宋体" w:hint="eastAsia"/>
          </w:rPr>
          <w:t>农田灌溉水质标准</w:t>
        </w:r>
      </w:hyperlink>
      <w:r>
        <w:rPr>
          <w:rFonts w:ascii="宋体" w:hAnsi="宋体" w:cs="宋体" w:hint="eastAsia"/>
        </w:rPr>
        <w:t>。</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4.1.4  交通条件</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距县道公路不远于5公里，有宽度4.5米以上的公路通达。</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4.2  建园</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lastRenderedPageBreak/>
        <w:t>4.2.1  园地规划</w:t>
      </w:r>
    </w:p>
    <w:p w:rsidR="00446713" w:rsidRDefault="00E72BF7" w:rsidP="00405BCF">
      <w:pPr>
        <w:pStyle w:val="1"/>
        <w:spacing w:beforeLines="50" w:afterLines="50" w:line="400" w:lineRule="atLeast"/>
        <w:contextualSpacing/>
        <w:rPr>
          <w:rFonts w:ascii="宋体" w:hAnsi="宋体" w:cs="宋体"/>
        </w:rPr>
      </w:pPr>
      <w:r>
        <w:rPr>
          <w:rFonts w:hint="eastAsia"/>
        </w:rPr>
        <w:t>择坡度在</w:t>
      </w:r>
      <w:r>
        <w:rPr>
          <w:rFonts w:hint="eastAsia"/>
        </w:rPr>
        <w:t>25</w:t>
      </w:r>
      <w:r>
        <w:rPr>
          <w:rFonts w:hint="eastAsia"/>
        </w:rPr>
        <w:t>度以下地带建园。因地制宜将全园划分为若干作业区，大小因地形、地势、自然条件而异。道路设置便于园内管理和运输；灌水系统与道路配套进行，提倡节水灌溉；建立果园排水系统，且各级排水渠沟互通</w:t>
      </w:r>
      <w:r>
        <w:rPr>
          <w:rFonts w:ascii="宋体" w:hAnsi="宋体" w:cs="宋体" w:hint="eastAsia"/>
        </w:rPr>
        <w:t>。</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4.2.2  防风林</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风害较大的地区，在主迎风面应建设防风林。防风林距猕猴桃栽植行5 m～6 m，栽植2排，行距1.0 m～1.5 m,株距1.0 m，以对角线方式栽植，树高10 m～15 m，以乔木为主。</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  栽培管理技术</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5.1  砧木</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宜用美味猕猴桃做砧木。</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5.2  品种苗木</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5.2.1  选择原则</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根据猕猴桃种植区域和生长特点选择适合当地生长，且抗病、抗虫、耐贮藏的优质猕猴桃品种。</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5.2.2  品种选用</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美味猕猴桃品种：海沃德、徐香、翠香、贵长、米良1号等。</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中华猕猴桃品种：红阳、金桃、红华、东红、红什2号、金艳、楚红、红昇、翠玉、农大金猕等。</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选择使用品种纯正、无危险病害、生长健壮的嫁接苗，红肉猕猴桃品种宜为设施栽培。</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5.3  雌雄株搭配</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雌株和雄株的搭配比例为4:1～8:1。</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5.4  栽植距离</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美味猕猴桃品种栽植株距3 m～3.5 m，行距3 m～4 m。</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中华猕猴桃品种栽植株距2 m～2.5 m，行距3 m～4 m。</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5.5  栽植时期</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10月下旬至翌年2月上旬。</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5.6  定植方法</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 xml:space="preserve">5.6.1  定植  </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宜抽通槽或聚土起垄，亩施有机肥3000 kg～5000 kg，磷肥100 kg～200 kg，直接在种植箱面上用熟土做定植窝，高出地面30 cm～40 cm。</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 xml:space="preserve">5.6.2  栽苗 </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 xml:space="preserve"> 挖开表土，使窝心成“凸”状，将苗的根系分开斜向下，平分在窝心周围，回填细土，踩紧土壤，浇足定根水，用桔秆或黑色薄膜覆盖幼苗。</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5.7  土壤管理</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lastRenderedPageBreak/>
        <w:t>5.7.1  深翻改土</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每年结合秋季施肥，在定植穴外沿挖环状沟，宽度30 cm～40 cm，深度约40 cm，第二年接着上年深翻的边沿，向外扩展深翻。</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5.7.2  间作和覆盖</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间作矮秆作物、绿肥或生草，将作物秸秆或刈割的绿草等覆盖在树冠下，上面压少量土，连续盖3年～4年后浅翻一次。</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5.8  施肥</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5.8.1  施肥原则</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肥料施用应符合NY/T 394的规定。</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5.8.2  施肥量、时期和方法</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5.8.2.1  施肥量</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以果园的树龄大小及结果量、土壤条件确定施肥量。</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一般中等肥力的土壤，幼龄树（1年～3年生），每667 m</w:t>
      </w:r>
      <w:r>
        <w:rPr>
          <w:rFonts w:ascii="宋体" w:hAnsi="宋体" w:cs="宋体" w:hint="eastAsia"/>
          <w:vertAlign w:val="superscript"/>
        </w:rPr>
        <w:t>2</w:t>
      </w:r>
      <w:r>
        <w:rPr>
          <w:rFonts w:ascii="宋体" w:hAnsi="宋体" w:cs="宋体" w:hint="eastAsia"/>
        </w:rPr>
        <w:t>施有机肥3000 kg～5000 kg；无机肥，纯氮8 kg～12 kg，纯磷（以五氧化二磷计，下同）6 kg～11 kg，纯钾（以氧化钾计，下同）7 kg～14 kg。成年树（4年生以上），施有机肥5000 kg～8000 kg；无机肥，纯氮14 kg～20 kg，纯磷12 kg～16 kg，纯钾14 kg～18 kg。</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5.8.2.2  施肥时期</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基肥：果实采收后秋季到落叶前，以有机肥为主。有机肥施用量占全年施用量的80%，无机肥占全年施用量的30%。</w:t>
      </w:r>
    </w:p>
    <w:p w:rsidR="00446713" w:rsidRDefault="00E72BF7" w:rsidP="00405BCF">
      <w:pPr>
        <w:pStyle w:val="1"/>
        <w:spacing w:beforeLines="50" w:afterLines="50" w:line="400" w:lineRule="atLeast"/>
        <w:contextualSpacing/>
        <w:rPr>
          <w:rFonts w:ascii="宋体" w:hAnsi="宋体" w:cs="宋体"/>
        </w:rPr>
      </w:pPr>
      <w:r>
        <w:rPr>
          <w:rFonts w:hint="eastAsia"/>
        </w:rPr>
        <w:t>萌芽前施肥</w:t>
      </w:r>
      <w:r>
        <w:rPr>
          <w:rFonts w:ascii="宋体" w:hAnsi="宋体" w:cs="宋体" w:hint="eastAsia"/>
        </w:rPr>
        <w:t>：萌芽前1周～2周，无机肥为主，占全年施用量的30%，结合施有机肥。</w:t>
      </w:r>
    </w:p>
    <w:p w:rsidR="00446713" w:rsidRDefault="00E72BF7" w:rsidP="00405BCF">
      <w:pPr>
        <w:pStyle w:val="1"/>
        <w:spacing w:beforeLines="50" w:afterLines="50" w:line="400" w:lineRule="atLeast"/>
        <w:contextualSpacing/>
        <w:rPr>
          <w:rFonts w:ascii="宋体" w:hAnsi="宋体" w:cs="宋体"/>
        </w:rPr>
      </w:pPr>
      <w:r>
        <w:rPr>
          <w:rFonts w:hint="eastAsia"/>
        </w:rPr>
        <w:t>果实膨大期施肥</w:t>
      </w:r>
      <w:r>
        <w:rPr>
          <w:rFonts w:ascii="宋体" w:hAnsi="宋体" w:cs="宋体" w:hint="eastAsia"/>
        </w:rPr>
        <w:t>：花后1周～2周，以无机肥为主，占全年施用量的40%，结合施有机肥。</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5.8.2.3  施肥方法</w:t>
      </w:r>
    </w:p>
    <w:p w:rsidR="00446713" w:rsidRDefault="00E72BF7">
      <w:pPr>
        <w:pStyle w:val="a7"/>
        <w:ind w:firstLine="420"/>
      </w:pPr>
      <w:r>
        <w:rPr>
          <w:rFonts w:hint="eastAsia"/>
        </w:rPr>
        <w:t>施基肥：结合深翻改土、培厢，顺厢施入，沟宽30 cm～40 cm，深度约40 cm，逐年向外扩展，直至全园深翻成厢；以后改用环状施肥法，结合松土，浅挖10 cm～15 cm施入。</w:t>
      </w:r>
    </w:p>
    <w:p w:rsidR="00446713" w:rsidRDefault="00E72BF7" w:rsidP="00405BCF">
      <w:pPr>
        <w:spacing w:beforeLines="20" w:afterLines="20" w:line="320" w:lineRule="exact"/>
        <w:ind w:firstLineChars="200" w:firstLine="420"/>
        <w:rPr>
          <w:rFonts w:ascii="宋体" w:eastAsia="宋体" w:hAnsi="Times New Roman" w:cs="Times New Roman"/>
          <w:kern w:val="0"/>
          <w:szCs w:val="22"/>
        </w:rPr>
      </w:pPr>
      <w:r>
        <w:rPr>
          <w:rFonts w:hint="eastAsia"/>
        </w:rPr>
        <w:t>施追肥和壮果肥：幼年树在离树主</w:t>
      </w:r>
      <w:r>
        <w:rPr>
          <w:rFonts w:ascii="宋体" w:eastAsia="宋体" w:hAnsi="Times New Roman" w:cs="Times New Roman" w:hint="eastAsia"/>
          <w:kern w:val="0"/>
          <w:szCs w:val="22"/>
        </w:rPr>
        <w:t>干50 cm处，挖窝10 cm～20 cm施入；成年树，采用环状施肥或轮流方向施肥，挖入深度为5 cm～20 cm，离树主干100 cm。</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5.9  灌溉与排水</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5.9.1  水的质量</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灌溉水应符合NY/T391的规定。</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5.9.2  灌溉和排水指标</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土壤湿度保持在田间最大持水量的70%～80%，低于65%时应灌水，高于90%时应排水。</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5.9.3  灌水方式</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采用沟灌，推广使用滴灌或喷灌的方式。</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lastRenderedPageBreak/>
        <w:t>5.9.4  排水</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果园面积较大时，园内应有排水沟，主排水沟深60 cm～100 cm，支排水沟30 cm～40 cm，雨后应及时排水。</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5.10  架型</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5.10.1  “T”型架</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沿行向每隔5 m～6 m栽植一个立柱，立柱为9 cm×9 cm正方形水泥柱，立柱全长2.5 m，地上部分长1.8 m，地下部分长0.7 m，横梁2m，横梁上顺行架设5道12#（直径3mm）防锈铅丝，每行末端立柱外2.0 m处理设一地锚拉线，地锚体积不小于0.06 m³,埋置深度100 cm以上。</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5.10.2  大棚架</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立柱的规格及栽植密度同“T”型架，顺横行在立柱顶端架设三角铁，在三角铁上每隔50 cm～60 cm顺行架设一道12 # 防锈铁丝，每竖行末端立柱外2.0 m处理设一地锚拉线，埋置规格及深度同“T”型架。</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5.11  整形修剪</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5.11.1  整形</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采用单主干上架，在主干上接近架面20 cm的部位留二个主蔓，分别沿中心铁丝两侧伸展，培养成为永久的蔓，主蔓的两侧每隔20 cm～30 cm留一结果母枝，结果母枝与行向呈直角固定在架面上。</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5.11.2  修剪</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5.11.2.1冬季修剪</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结果母枝选留: 结果母枝优先选留生长强壮的发育枝和结果枝，其次选留生长中庸的枝条，在缺乏枝条时可适量选留短枝填空；留结果母枝时尽量选用距主蔓较近的枝条，选留的枝条根据生长状况修剪到饱满芽处。</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更新修剪: 尽量选留从原结果母枝基部发出或直接着生在主蔓上的枝条作结果母枝，将前一年的结果母枝回缩到更新枝位附近或完全疏除掉。每年全树至少二分之一以上的结果母枝进行更新，两年内全部更新一遍。</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培养预备枝: 未留做结果母枝的枝条，如果着生位置靠近主蔓，剪留2芽～3芽为下年培养更新枝，其他枝条全部疏除。</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留芽数量: 修剪完毕后的结果母枝需保留一定的有效芽数，这又因品种的不同有一定的差异，红阳品种的有效芽数36个～48个/m</w:t>
      </w:r>
      <w:r>
        <w:rPr>
          <w:rFonts w:ascii="宋体" w:hAnsi="宋体" w:cs="宋体" w:hint="eastAsia"/>
          <w:vertAlign w:val="superscript"/>
        </w:rPr>
        <w:t>2</w:t>
      </w:r>
      <w:r>
        <w:rPr>
          <w:rFonts w:ascii="宋体" w:hAnsi="宋体" w:cs="宋体" w:hint="eastAsia"/>
        </w:rPr>
        <w:t>，海沃德的有效芽数30个～35个/m</w:t>
      </w:r>
      <w:r>
        <w:rPr>
          <w:rFonts w:ascii="宋体" w:hAnsi="宋体" w:cs="宋体" w:hint="eastAsia"/>
          <w:vertAlign w:val="superscript"/>
        </w:rPr>
        <w:t>2</w:t>
      </w:r>
      <w:r>
        <w:rPr>
          <w:rFonts w:ascii="宋体" w:hAnsi="宋体" w:cs="宋体" w:hint="eastAsia"/>
        </w:rPr>
        <w:t>，所留的结果母枝均匀地分散开，并固定在架面上。</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5.11.2.2  夏季修剪</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抹芽: 从萌芽期开始抹除着生位置不当的芽。一般主干上萌发的潜伏芽均应疏除，但着生在主蔓上可培养作为下年更新枝的芽应根据需要保留。</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lastRenderedPageBreak/>
        <w:t>疏枝: 当新梢上花序开始出现后及时疏除细弱枝、过密枝、病虫枝、双芽枝及不能用作下年更新枝的徒长枝等。结果母枝上每隔15 cm～20 cm的保留一个结果枝，每平方米架面保留正常结果枝10根～12根。</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绑蔓: 新梢长到30 cm～40 cm时开始绑蔓，使新梢在架面上分布均匀，每隔2周～3周全园检查、绑缚一遍。</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摘心: 开花前对强旺的结果枝、发育枝轻摘心，摘心后如果发出二次芽，在顶端只保留一个，其余全部抹除，对开始缠绕的枝条全部摘心。</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5.12  疏蕾与疏果</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5.12.1  疏蕾</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侧花蕾分离后2周左右开始疏蕾，根据结果枝的强弱保留花蕾数量，强壮的长果枝留5个～6个花蕾，中庸的结果枝留3个～4个花蕾，短果枝留1个～2个花蕾。</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5.12.2  疏果</w:t>
      </w:r>
    </w:p>
    <w:p w:rsidR="00446713" w:rsidRDefault="00E72BF7" w:rsidP="00405BCF">
      <w:pPr>
        <w:pStyle w:val="1"/>
        <w:spacing w:beforeLines="50" w:afterLines="50" w:line="400" w:lineRule="atLeast"/>
        <w:contextualSpacing/>
        <w:rPr>
          <w:rFonts w:ascii="宋体" w:hAnsi="宋体" w:cs="宋体"/>
        </w:rPr>
      </w:pPr>
      <w:r>
        <w:rPr>
          <w:rFonts w:hint="eastAsia"/>
        </w:rPr>
        <w:t>花后</w:t>
      </w:r>
      <w:r>
        <w:rPr>
          <w:rFonts w:hint="eastAsia"/>
        </w:rPr>
        <w:t>10</w:t>
      </w:r>
      <w:r>
        <w:rPr>
          <w:rFonts w:hint="eastAsia"/>
        </w:rPr>
        <w:t>天左右，疏去授粉受精不良的畸形果、扁平果、伤果、小果、病虫危害果等</w:t>
      </w:r>
      <w:r>
        <w:rPr>
          <w:rFonts w:hint="eastAsia"/>
        </w:rPr>
        <w:t xml:space="preserve"> </w:t>
      </w:r>
      <w:r>
        <w:rPr>
          <w:rFonts w:hint="eastAsia"/>
        </w:rPr>
        <w:t>。生长健壮的长果枝留</w:t>
      </w:r>
      <w:r>
        <w:rPr>
          <w:rFonts w:hint="eastAsia"/>
        </w:rPr>
        <w:t>4</w:t>
      </w:r>
      <w:r>
        <w:rPr>
          <w:rFonts w:hint="eastAsia"/>
        </w:rPr>
        <w:t>个～</w:t>
      </w:r>
      <w:r>
        <w:rPr>
          <w:rFonts w:hint="eastAsia"/>
        </w:rPr>
        <w:t>5</w:t>
      </w:r>
      <w:r>
        <w:rPr>
          <w:rFonts w:hint="eastAsia"/>
        </w:rPr>
        <w:t>个果，中庸的结果枝留</w:t>
      </w:r>
      <w:r>
        <w:rPr>
          <w:rFonts w:hint="eastAsia"/>
        </w:rPr>
        <w:t>2</w:t>
      </w:r>
      <w:r>
        <w:rPr>
          <w:rFonts w:hint="eastAsia"/>
        </w:rPr>
        <w:t>个～</w:t>
      </w:r>
      <w:r>
        <w:rPr>
          <w:rFonts w:hint="eastAsia"/>
        </w:rPr>
        <w:t>3</w:t>
      </w:r>
      <w:r>
        <w:rPr>
          <w:rFonts w:hint="eastAsia"/>
        </w:rPr>
        <w:t>个果。短果枝留</w:t>
      </w:r>
      <w:r>
        <w:rPr>
          <w:rFonts w:hint="eastAsia"/>
        </w:rPr>
        <w:t>1</w:t>
      </w:r>
      <w:r>
        <w:rPr>
          <w:rFonts w:hint="eastAsia"/>
        </w:rPr>
        <w:t>个果。</w:t>
      </w:r>
      <w:r>
        <w:rPr>
          <w:rFonts w:ascii="宋体" w:hAnsi="宋体" w:cs="宋体" w:hint="eastAsia"/>
        </w:rPr>
        <w:t>控制全树的留果量，成龄园架面40个～50个果/m</w:t>
      </w:r>
      <w:r>
        <w:rPr>
          <w:rFonts w:ascii="宋体" w:hAnsi="宋体" w:cs="宋体" w:hint="eastAsia"/>
          <w:vertAlign w:val="superscript"/>
        </w:rPr>
        <w:t>2</w:t>
      </w:r>
      <w:r>
        <w:rPr>
          <w:rFonts w:hint="eastAsia"/>
        </w:rPr>
        <w:t>。</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5.13  果实套袋</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采用透水透气良好的木浆纸做猕猴桃专用纸袋，谢花后20天～40天开始套袋。将纸袋揉开，轻轻套进果实。先用纸袋内缘封紧封实果柄，防止雨水浸入果袋，再将袋口边缘贴紧，防止果袋脱落。</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6  病虫害防治</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6.1  防治原则</w:t>
      </w:r>
    </w:p>
    <w:p w:rsidR="00446713" w:rsidRDefault="00E72BF7">
      <w:pPr>
        <w:spacing w:line="400" w:lineRule="exact"/>
        <w:ind w:firstLineChars="200" w:firstLine="420"/>
        <w:rPr>
          <w:rFonts w:ascii="宋体" w:eastAsia="宋体" w:hAnsi="宋体" w:cs="宋体"/>
          <w:szCs w:val="21"/>
        </w:rPr>
      </w:pPr>
      <w:r>
        <w:rPr>
          <w:rFonts w:ascii="宋体" w:eastAsia="宋体" w:hAnsi="宋体" w:cs="宋体" w:hint="eastAsia"/>
          <w:szCs w:val="21"/>
        </w:rPr>
        <w:t>坚持预防为主，综合防治，按照病虫害发生的特点，以农业防治为基础，综合利用物理、生物、化学等防治措施。充分采用生物防治措施，合理科学使用化学防治技术，有效控制病虫危害。</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6.2植物检疫</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在调运猕猴桃的种子、苗木、接穗时，严格执行国家规定的检疫法规，防止危险性病虫害从外地引入当地。</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6.3预测预报</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根据病虫害的发生规律，提前在不同区域以小面积预测其发生程度和时期，为大面积防治提供依据。</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6.4  农业防治</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培育和选用无病虫的繁殖材料，培育健壮苗木。加强园区肥水管理，使用测土配方施肥法，避免偏施单一肥料。依据树势树龄留果，保持营养生长与生殖生长平衡。及时清除枯枝、落叶、落果、病虫果，结合修剪剪除病虫残体。使用果实套袋技术，避免直接危害果实的病</w:t>
      </w:r>
      <w:r>
        <w:rPr>
          <w:rFonts w:ascii="宋体" w:hAnsi="宋体" w:cs="宋体" w:hint="eastAsia"/>
        </w:rPr>
        <w:lastRenderedPageBreak/>
        <w:t>虫害，如苹小卷叶蛾、黑斑病、日灼、有害微生物生存繁殖。秋季在树干基部缠草诱捕下树越冬害虫，早春取草烧毁。冬季主干涂白杀死树皮中部分越冬害虫及病菌，预防细菌和真菌早期侵染。</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6.5  物理防治</w:t>
      </w:r>
    </w:p>
    <w:p w:rsidR="00446713"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6.5.1设置黄板纸</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根据蚜虫有趋向黄色的特性，用100×20 cm的纸板涂上黄漆和机油，每公顷挂450～600块，当面板沾满蚜虫时，再涂一层机油。</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6.5.2 设置频振灯</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有趋光性的害虫，用灯光诱杀，如金龟子、夜蛾、叶甲等。一般开灯时间从4月上旬开始，直到9月中旬结束。</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6.5.3 糖醋诱杀</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利用一些害虫对糖醋液有很强趋化性来进行诱杀。糖醋液配制的方法是：红糖0.5 kg、醋1 kg、水1 L，加少许白酒；或用果醋1 kg、水10 L，加少许洗衣粉。</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6.5.4 地面覆膜</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很多害虫（如金龟甲）在树冠下面土壤中越冬，覆膜后可阻止成虫春季出土危害。</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6.5.5 热力处理</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对携带有根结线虫、病毒的苗木进行热力处理。如患有根结线虫病的苗木，放在44～46 ℃热水中处理5分钟，便可杀死根结线虫。</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6.6  生物防治</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使用选择性强的农药保护天敌，采取助育和人工饲放天敌控制害虫，利用昆虫性外激素诱杀或干扰成虫交配，控制有害生物种群。</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6.6.1 以虫治虫</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果园需要保护的天敌是寄生性昆虫和捕食性昆虫。通过在行间合理套种作物或种草，以招引和繁殖天敌。另外，利用人工饲养天敌方法，有目的地释放于田间来抑制害虫的发生。例如释放赤眼蜂防治各种卷叶蛾、枯叶蛾、实心虫等鳞翅目害虫。</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6.6.2 以菌治虫和以菌治菌</w:t>
      </w:r>
    </w:p>
    <w:p w:rsidR="00446713" w:rsidRDefault="00E72BF7" w:rsidP="00405BCF">
      <w:pPr>
        <w:pStyle w:val="1"/>
        <w:spacing w:beforeLines="50" w:afterLines="50" w:line="400" w:lineRule="atLeast"/>
        <w:contextualSpacing/>
        <w:rPr>
          <w:rFonts w:ascii="宋体" w:hAnsi="宋体" w:cs="宋体"/>
        </w:rPr>
      </w:pPr>
      <w:r>
        <w:rPr>
          <w:rFonts w:ascii="宋体" w:hAnsi="宋体" w:cs="宋体" w:hint="eastAsia"/>
        </w:rPr>
        <w:t>利用有益生物菌防治虫和病</w:t>
      </w:r>
      <w:r w:rsidR="006941FE">
        <w:rPr>
          <w:rFonts w:ascii="宋体" w:hAnsi="宋体" w:cs="宋体" w:hint="eastAsia"/>
        </w:rPr>
        <w:t>，如</w:t>
      </w:r>
      <w:bookmarkStart w:id="0" w:name="_GoBack"/>
      <w:bookmarkEnd w:id="0"/>
      <w:r>
        <w:rPr>
          <w:rFonts w:ascii="宋体" w:hAnsi="宋体" w:cs="宋体" w:hint="eastAsia"/>
        </w:rPr>
        <w:t>春雷霉素</w:t>
      </w:r>
      <w:r w:rsidR="006941FE">
        <w:rPr>
          <w:rFonts w:ascii="宋体" w:hAnsi="宋体" w:cs="宋体" w:hint="eastAsia"/>
        </w:rPr>
        <w:t>防治花腐病</w:t>
      </w:r>
      <w:r>
        <w:rPr>
          <w:rFonts w:ascii="宋体" w:hAnsi="宋体" w:cs="宋体" w:hint="eastAsia"/>
        </w:rPr>
        <w:t>。</w:t>
      </w:r>
    </w:p>
    <w:p w:rsidR="00000000"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6.7  化学防治</w:t>
      </w:r>
    </w:p>
    <w:p w:rsidR="00446713" w:rsidRDefault="00E72BF7">
      <w:pPr>
        <w:spacing w:line="400" w:lineRule="atLeast"/>
        <w:ind w:firstLineChars="200" w:firstLine="420"/>
        <w:contextualSpacing/>
        <w:rPr>
          <w:rFonts w:ascii="宋体" w:hAnsi="宋体" w:cs="宋体"/>
        </w:rPr>
      </w:pPr>
      <w:r>
        <w:rPr>
          <w:rFonts w:ascii="宋体" w:hAnsi="宋体" w:cs="宋体" w:hint="eastAsia"/>
        </w:rPr>
        <w:t>加强病虫预测预报，掌握果园病虫害发生情况。选择使用高效、低毒、低残留、与环境相容性好的农药。提倡使用生物源和矿物源农药。轮换使用不同作用机理的农药，不能随意提高农药的倍数，严格执行农药安全生产间隔期。化学防治严格按照NY/T 393标准执行。主要病虫害化学防治方案参见附录A。</w:t>
      </w:r>
    </w:p>
    <w:p w:rsidR="00446713"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7  采收</w:t>
      </w:r>
    </w:p>
    <w:p w:rsidR="00000000"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7.1  采收时间</w:t>
      </w:r>
    </w:p>
    <w:p w:rsidR="00000000" w:rsidRDefault="00E72BF7" w:rsidP="00405BCF">
      <w:pPr>
        <w:pStyle w:val="1"/>
        <w:spacing w:beforeLines="50" w:afterLines="50" w:line="400" w:lineRule="atLeast"/>
        <w:contextualSpacing/>
        <w:rPr>
          <w:rFonts w:ascii="宋体" w:hAnsi="宋体" w:cs="宋体"/>
        </w:rPr>
      </w:pPr>
      <w:r>
        <w:rPr>
          <w:rFonts w:ascii="宋体" w:hAnsi="宋体" w:cs="宋体" w:hint="eastAsia"/>
        </w:rPr>
        <w:lastRenderedPageBreak/>
        <w:t>根据果实成熟度、用途和市场需求综合确定采收日期。成熟期不一致的品种，应分期采收。</w:t>
      </w:r>
    </w:p>
    <w:p w:rsidR="00000000"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7.2  采收方法</w:t>
      </w:r>
    </w:p>
    <w:p w:rsidR="00000000" w:rsidRDefault="00E72BF7" w:rsidP="00405BCF">
      <w:pPr>
        <w:pStyle w:val="1"/>
        <w:spacing w:beforeLines="50" w:afterLines="50" w:line="400" w:lineRule="atLeast"/>
        <w:contextualSpacing/>
        <w:rPr>
          <w:rFonts w:ascii="宋体" w:hAnsi="宋体" w:cs="宋体"/>
        </w:rPr>
      </w:pPr>
      <w:r>
        <w:rPr>
          <w:rFonts w:ascii="宋体" w:hAnsi="宋体" w:cs="宋体" w:hint="eastAsia"/>
        </w:rPr>
        <w:t>采收者先剪指甲，带手套，使用专用的猕猴桃采收布袋，手握果实轻轻向上推扭，要做到轻拿轻放。</w:t>
      </w:r>
    </w:p>
    <w:p w:rsidR="00000000" w:rsidRDefault="00E72BF7" w:rsidP="00405BCF">
      <w:pPr>
        <w:pStyle w:val="1"/>
        <w:spacing w:beforeLines="50" w:afterLines="50" w:line="400" w:lineRule="atLeast"/>
        <w:ind w:firstLineChars="0" w:firstLine="0"/>
        <w:contextualSpacing/>
        <w:rPr>
          <w:rFonts w:ascii="黑体" w:eastAsia="黑体" w:hAnsi="黑体" w:cs="黑体"/>
        </w:rPr>
      </w:pPr>
      <w:bookmarkStart w:id="1" w:name="_Toc270582287"/>
      <w:r>
        <w:rPr>
          <w:rFonts w:ascii="黑体" w:eastAsia="黑体" w:hAnsi="黑体" w:cs="黑体" w:hint="eastAsia"/>
        </w:rPr>
        <w:t>7.3  采收注意事项</w:t>
      </w:r>
      <w:bookmarkEnd w:id="1"/>
    </w:p>
    <w:p w:rsidR="00000000" w:rsidRDefault="00E72BF7" w:rsidP="00405BCF">
      <w:pPr>
        <w:pStyle w:val="1"/>
        <w:spacing w:beforeLines="50" w:afterLines="50" w:line="400" w:lineRule="atLeast"/>
        <w:contextualSpacing/>
        <w:rPr>
          <w:rFonts w:ascii="宋体" w:hAnsi="宋体" w:cs="宋体"/>
        </w:rPr>
      </w:pPr>
      <w:r>
        <w:rPr>
          <w:rFonts w:ascii="宋体" w:hAnsi="宋体" w:cs="宋体" w:hint="eastAsia"/>
        </w:rPr>
        <w:t>避免在雨天和高温的中午采果，套袋果可连袋带果采下分级装箱，果品装箱面上贴有产地、时间、品种、等级、数量等标签。</w:t>
      </w:r>
    </w:p>
    <w:p w:rsidR="00000000" w:rsidRDefault="00E72BF7" w:rsidP="00405BCF">
      <w:pPr>
        <w:pStyle w:val="1"/>
        <w:spacing w:beforeLines="50" w:afterLines="50" w:line="400" w:lineRule="atLeast"/>
        <w:ind w:firstLineChars="0" w:firstLine="0"/>
        <w:contextualSpacing/>
        <w:rPr>
          <w:rFonts w:ascii="黑体" w:eastAsia="黑体" w:hAnsi="黑体" w:cs="黑体"/>
        </w:rPr>
      </w:pPr>
      <w:bookmarkStart w:id="2" w:name="_Toc270582289"/>
      <w:r>
        <w:rPr>
          <w:rFonts w:ascii="黑体" w:eastAsia="黑体" w:hAnsi="黑体" w:cs="黑体" w:hint="eastAsia"/>
        </w:rPr>
        <w:t>7.4  果箱选择</w:t>
      </w:r>
      <w:bookmarkEnd w:id="2"/>
    </w:p>
    <w:p w:rsidR="00000000" w:rsidRDefault="00E72BF7" w:rsidP="00405BCF">
      <w:pPr>
        <w:pStyle w:val="1"/>
        <w:spacing w:beforeLines="50" w:afterLines="50" w:line="400" w:lineRule="atLeast"/>
        <w:contextualSpacing/>
        <w:rPr>
          <w:rFonts w:ascii="宋体" w:hAnsi="宋体" w:cs="宋体"/>
        </w:rPr>
      </w:pPr>
      <w:r>
        <w:rPr>
          <w:rFonts w:ascii="宋体" w:hAnsi="宋体" w:cs="宋体" w:hint="eastAsia"/>
        </w:rPr>
        <w:t>入库冷藏采用无毒塑料箱，内壁光滑平整。无毒塑料箱耐压强度要求在500 kg，每箱装果量12.5～20 kg。</w:t>
      </w:r>
    </w:p>
    <w:p w:rsidR="00000000"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8  生产废弃物的处理</w:t>
      </w:r>
    </w:p>
    <w:p w:rsidR="00000000" w:rsidRDefault="00E72BF7" w:rsidP="00405BCF">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 xml:space="preserve">8.1 </w:t>
      </w:r>
      <w:r>
        <w:rPr>
          <w:rFonts w:ascii="宋体" w:hAnsi="宋体" w:cs="宋体" w:hint="eastAsia"/>
        </w:rPr>
        <w:t xml:space="preserve"> 地膜处理：建园为保护幼苗生长所使用的地膜，建立收购网点，通过专业公司集中处理；或通过植物稿秆覆盖代替地膜覆盖，减少其用量。</w:t>
      </w:r>
    </w:p>
    <w:p w:rsidR="00000000" w:rsidRDefault="00E72BF7" w:rsidP="00405BCF">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8.2</w:t>
      </w:r>
      <w:r>
        <w:rPr>
          <w:rFonts w:ascii="宋体" w:hAnsi="宋体" w:cs="宋体" w:hint="eastAsia"/>
        </w:rPr>
        <w:t xml:space="preserve">  农药包装袋处理：生产过程中使用农药产生的包装袋，有偿集中统一收购，通过专业公司集中处理。</w:t>
      </w:r>
    </w:p>
    <w:p w:rsidR="00000000" w:rsidRDefault="00E72BF7" w:rsidP="00405BCF">
      <w:pPr>
        <w:pStyle w:val="1"/>
        <w:spacing w:beforeLines="50" w:afterLines="50" w:line="400" w:lineRule="atLeast"/>
        <w:ind w:firstLineChars="0" w:firstLine="0"/>
        <w:contextualSpacing/>
        <w:rPr>
          <w:rFonts w:ascii="宋体" w:hAnsi="宋体" w:cs="宋体"/>
        </w:rPr>
      </w:pPr>
      <w:r>
        <w:rPr>
          <w:rFonts w:ascii="黑体" w:eastAsia="黑体" w:hAnsi="黑体" w:cs="黑体" w:hint="eastAsia"/>
        </w:rPr>
        <w:t xml:space="preserve">8.3 </w:t>
      </w:r>
      <w:r>
        <w:rPr>
          <w:rFonts w:ascii="宋体" w:hAnsi="宋体" w:cs="宋体" w:hint="eastAsia"/>
        </w:rPr>
        <w:t xml:space="preserve"> 枝条、秸秆、落叶等处理：在种植基地，建立</w:t>
      </w:r>
      <w:r>
        <w:rPr>
          <w:rFonts w:ascii="宋体" w:hAnsi="宋体" w:cs="宋体"/>
        </w:rPr>
        <w:t>发酵</w:t>
      </w:r>
      <w:r>
        <w:rPr>
          <w:rFonts w:ascii="宋体" w:hAnsi="宋体" w:cs="宋体" w:hint="eastAsia"/>
        </w:rPr>
        <w:t>池，将修剪下来的枝条</w:t>
      </w:r>
      <w:r>
        <w:rPr>
          <w:rFonts w:ascii="宋体" w:hAnsi="宋体" w:cs="宋体"/>
        </w:rPr>
        <w:t>集中打成碎末，</w:t>
      </w:r>
      <w:r>
        <w:rPr>
          <w:rFonts w:ascii="宋体" w:hAnsi="宋体" w:cs="宋体" w:hint="eastAsia"/>
        </w:rPr>
        <w:t>进行</w:t>
      </w:r>
      <w:r>
        <w:rPr>
          <w:rFonts w:ascii="宋体" w:hAnsi="宋体" w:cs="宋体"/>
        </w:rPr>
        <w:t>发酵</w:t>
      </w:r>
      <w:r>
        <w:rPr>
          <w:rFonts w:ascii="宋体" w:hAnsi="宋体" w:cs="宋体" w:hint="eastAsia"/>
        </w:rPr>
        <w:t>处理</w:t>
      </w:r>
      <w:r>
        <w:rPr>
          <w:rFonts w:ascii="宋体" w:hAnsi="宋体" w:cs="宋体"/>
        </w:rPr>
        <w:t>，</w:t>
      </w:r>
      <w:r>
        <w:rPr>
          <w:rFonts w:ascii="宋体" w:hAnsi="宋体" w:cs="宋体" w:hint="eastAsia"/>
        </w:rPr>
        <w:t>杀灭病菌，作基肥使用。</w:t>
      </w:r>
    </w:p>
    <w:p w:rsidR="00000000"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9   运输储藏</w:t>
      </w:r>
    </w:p>
    <w:p w:rsidR="00000000" w:rsidRDefault="00E72BF7" w:rsidP="00405BCF">
      <w:pPr>
        <w:pStyle w:val="1"/>
        <w:spacing w:beforeLines="50" w:afterLines="50" w:line="400" w:lineRule="atLeast"/>
        <w:ind w:firstLineChars="0" w:firstLine="0"/>
        <w:contextualSpacing/>
        <w:rPr>
          <w:rFonts w:ascii="黑体" w:eastAsia="黑体" w:hAnsi="黑体" w:cs="黑体"/>
        </w:rPr>
      </w:pPr>
      <w:bookmarkStart w:id="3" w:name="_Toc270582290"/>
      <w:r>
        <w:rPr>
          <w:rFonts w:ascii="黑体" w:eastAsia="黑体" w:hAnsi="黑体" w:cs="黑体" w:hint="eastAsia"/>
        </w:rPr>
        <w:t>9.1  保鲜库选择</w:t>
      </w:r>
      <w:bookmarkEnd w:id="3"/>
    </w:p>
    <w:p w:rsidR="00000000" w:rsidRDefault="00E72BF7" w:rsidP="00405BCF">
      <w:pPr>
        <w:pStyle w:val="1"/>
        <w:spacing w:beforeLines="50" w:afterLines="50" w:line="400" w:lineRule="atLeast"/>
        <w:contextualSpacing/>
        <w:rPr>
          <w:rFonts w:ascii="宋体" w:hAnsi="宋体" w:cs="宋体"/>
        </w:rPr>
      </w:pPr>
      <w:r>
        <w:rPr>
          <w:rFonts w:ascii="宋体" w:hAnsi="宋体" w:cs="宋体" w:hint="eastAsia"/>
        </w:rPr>
        <w:t>主要采用低温库和气调库两种。</w:t>
      </w:r>
    </w:p>
    <w:p w:rsidR="00000000"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9.2  建库条件</w:t>
      </w:r>
    </w:p>
    <w:p w:rsidR="00000000" w:rsidRDefault="00E72BF7" w:rsidP="00405BCF">
      <w:pPr>
        <w:pStyle w:val="1"/>
        <w:spacing w:beforeLines="50" w:afterLines="50" w:line="400" w:lineRule="atLeast"/>
        <w:contextualSpacing/>
        <w:rPr>
          <w:rFonts w:ascii="宋体" w:hAnsi="宋体" w:cs="宋体"/>
        </w:rPr>
      </w:pPr>
      <w:r>
        <w:rPr>
          <w:rFonts w:ascii="宋体" w:hAnsi="宋体" w:cs="宋体" w:hint="eastAsia"/>
        </w:rPr>
        <w:t>库址周围无污染（空气、水）、无酒厂、交通方便。</w:t>
      </w:r>
    </w:p>
    <w:p w:rsidR="00000000"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9.3  库容计划</w:t>
      </w:r>
    </w:p>
    <w:p w:rsidR="00000000" w:rsidRDefault="00E72BF7" w:rsidP="00405BCF">
      <w:pPr>
        <w:pStyle w:val="1"/>
        <w:spacing w:beforeLines="50" w:afterLines="50" w:line="400" w:lineRule="atLeast"/>
        <w:contextualSpacing/>
        <w:rPr>
          <w:rFonts w:ascii="宋体" w:hAnsi="宋体" w:cs="宋体"/>
        </w:rPr>
      </w:pPr>
      <w:r>
        <w:rPr>
          <w:rFonts w:ascii="宋体" w:hAnsi="宋体" w:cs="宋体" w:hint="eastAsia"/>
        </w:rPr>
        <w:t>贮藏每吨果品需库间面积8 m³，并辅建预冷间、分级包装室。</w:t>
      </w:r>
    </w:p>
    <w:p w:rsidR="00000000"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9.4  冷库消毒</w:t>
      </w:r>
    </w:p>
    <w:p w:rsidR="00000000" w:rsidRDefault="00E72BF7" w:rsidP="00405BCF">
      <w:pPr>
        <w:pStyle w:val="1"/>
        <w:spacing w:beforeLines="50" w:afterLines="50" w:line="400" w:lineRule="atLeast"/>
        <w:contextualSpacing/>
        <w:rPr>
          <w:rFonts w:ascii="宋体" w:hAnsi="宋体" w:cs="宋体"/>
        </w:rPr>
      </w:pPr>
      <w:r>
        <w:rPr>
          <w:rFonts w:ascii="宋体" w:hAnsi="宋体" w:cs="宋体" w:hint="eastAsia"/>
        </w:rPr>
        <w:t>新库和旧库都必须消毒处理，具体方法：先用3 g/m³～5 g/m³高锰酸钾在库内进行全面消毒，再用10 g/m³硫磺粉进行熏蒸消毒24 h～48 h,然后打开库门通风。</w:t>
      </w:r>
    </w:p>
    <w:p w:rsidR="00000000"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9.5  果品预冷处理</w:t>
      </w:r>
    </w:p>
    <w:p w:rsidR="00000000" w:rsidRDefault="00E72BF7" w:rsidP="00405BCF">
      <w:pPr>
        <w:pStyle w:val="1"/>
        <w:spacing w:beforeLines="50" w:afterLines="50" w:line="400" w:lineRule="atLeast"/>
        <w:contextualSpacing/>
        <w:rPr>
          <w:rFonts w:ascii="宋体" w:hAnsi="宋体" w:cs="宋体"/>
        </w:rPr>
      </w:pPr>
      <w:r>
        <w:rPr>
          <w:rFonts w:ascii="宋体" w:hAnsi="宋体" w:cs="宋体" w:hint="eastAsia"/>
        </w:rPr>
        <w:t>采收后的果实立即运至预冷间或包装场，进行自然或吹风预冷，散去田间热和果面水份，经自然预冷20～24小时开始装箱入库。</w:t>
      </w:r>
    </w:p>
    <w:p w:rsidR="00000000"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9.6  装箱</w:t>
      </w:r>
    </w:p>
    <w:p w:rsidR="00000000" w:rsidRDefault="00E72BF7" w:rsidP="00405BCF">
      <w:pPr>
        <w:pStyle w:val="1"/>
        <w:spacing w:beforeLines="50" w:afterLines="50" w:line="400" w:lineRule="atLeast"/>
        <w:contextualSpacing/>
        <w:rPr>
          <w:rFonts w:ascii="宋体" w:hAnsi="宋体" w:cs="宋体"/>
        </w:rPr>
      </w:pPr>
      <w:r>
        <w:rPr>
          <w:rFonts w:ascii="宋体" w:hAnsi="宋体" w:cs="宋体" w:hint="eastAsia"/>
        </w:rPr>
        <w:t>装箱时先将无毒保鲜膜袋放入果箱，再将果实和保鲜剂装入保鲜膜袋中，然后封袋入库。</w:t>
      </w:r>
    </w:p>
    <w:p w:rsidR="00000000"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9.7  入库</w:t>
      </w:r>
    </w:p>
    <w:p w:rsidR="00000000" w:rsidRDefault="00E72BF7" w:rsidP="00405BCF">
      <w:pPr>
        <w:pStyle w:val="1"/>
        <w:spacing w:beforeLines="50" w:afterLines="50" w:line="400" w:lineRule="atLeast"/>
        <w:contextualSpacing/>
        <w:rPr>
          <w:rFonts w:ascii="宋体" w:hAnsi="宋体" w:cs="宋体"/>
        </w:rPr>
      </w:pPr>
      <w:r>
        <w:rPr>
          <w:rFonts w:ascii="宋体" w:hAnsi="宋体" w:cs="宋体" w:hint="eastAsia"/>
        </w:rPr>
        <w:lastRenderedPageBreak/>
        <w:t>入库堆码高度3 m左右，宽1.5～2 m，保留人行道1.5 m。</w:t>
      </w:r>
    </w:p>
    <w:p w:rsidR="00000000"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9.8  库内保鲜条件</w:t>
      </w:r>
    </w:p>
    <w:p w:rsidR="00000000" w:rsidRDefault="00E72BF7" w:rsidP="00405BCF">
      <w:pPr>
        <w:pStyle w:val="1"/>
        <w:spacing w:beforeLines="50" w:afterLines="50" w:line="400" w:lineRule="atLeast"/>
        <w:contextualSpacing/>
        <w:rPr>
          <w:rFonts w:ascii="宋体" w:hAnsi="宋体" w:cs="宋体"/>
        </w:rPr>
      </w:pPr>
      <w:r>
        <w:rPr>
          <w:rFonts w:ascii="宋体" w:hAnsi="宋体" w:cs="宋体" w:hint="eastAsia"/>
        </w:rPr>
        <w:t>贮藏的适宜条件为：库内温度0～2℃，相对湿度90%～95%，气调贮藏时氧含量为2%～4%、二氧化碳含量为4%～5%。</w:t>
      </w:r>
    </w:p>
    <w:p w:rsidR="00000000" w:rsidRDefault="00E72BF7" w:rsidP="00405BCF">
      <w:pPr>
        <w:pStyle w:val="1"/>
        <w:spacing w:beforeLines="50" w:afterLines="50" w:line="400" w:lineRule="atLeast"/>
        <w:ind w:firstLineChars="0" w:firstLine="0"/>
        <w:contextualSpacing/>
        <w:rPr>
          <w:rFonts w:ascii="黑体" w:eastAsia="黑体" w:hAnsi="黑体" w:cs="黑体"/>
        </w:rPr>
      </w:pPr>
      <w:r>
        <w:rPr>
          <w:rFonts w:ascii="黑体" w:eastAsia="黑体" w:hAnsi="黑体" w:cs="黑体" w:hint="eastAsia"/>
        </w:rPr>
        <w:t>9.9  库检</w:t>
      </w:r>
    </w:p>
    <w:p w:rsidR="00000000" w:rsidRDefault="00E72BF7" w:rsidP="00405BCF">
      <w:pPr>
        <w:pStyle w:val="1"/>
        <w:spacing w:beforeLines="50" w:afterLines="50" w:line="400" w:lineRule="atLeast"/>
        <w:contextualSpacing/>
        <w:rPr>
          <w:rFonts w:ascii="宋体" w:hAnsi="宋体" w:cs="宋体"/>
        </w:rPr>
      </w:pPr>
      <w:r>
        <w:rPr>
          <w:rFonts w:ascii="宋体" w:hAnsi="宋体" w:cs="宋体" w:hint="eastAsia"/>
        </w:rPr>
        <w:t>冷库一般7～8天通风换气一次，换气时间30～60分钟，通风时间主要在早晨，应避免带有酒精气味和释放乙烯的物质混入果库。入库50～60天后进行翻箱挑出烂果软果，以后每月检查一次。</w:t>
      </w:r>
    </w:p>
    <w:p w:rsidR="00000000" w:rsidRDefault="00E72BF7" w:rsidP="00405BCF">
      <w:pPr>
        <w:pStyle w:val="1"/>
        <w:spacing w:beforeLines="50" w:afterLines="50" w:line="400" w:lineRule="atLeast"/>
        <w:ind w:firstLineChars="0" w:firstLine="0"/>
        <w:contextualSpacing/>
        <w:outlineLvl w:val="0"/>
        <w:rPr>
          <w:rFonts w:ascii="黑体" w:eastAsia="黑体" w:hAnsi="黑体" w:cs="黑体"/>
        </w:rPr>
      </w:pPr>
      <w:r>
        <w:rPr>
          <w:rFonts w:ascii="黑体" w:eastAsia="黑体" w:hAnsi="黑体" w:cs="黑体" w:hint="eastAsia"/>
        </w:rPr>
        <w:t>10  生产档案管理</w:t>
      </w:r>
    </w:p>
    <w:p w:rsidR="00446713" w:rsidRDefault="00E72BF7">
      <w:pPr>
        <w:spacing w:line="400" w:lineRule="atLeast"/>
        <w:ind w:firstLineChars="200" w:firstLine="420"/>
        <w:contextualSpacing/>
        <w:rPr>
          <w:rFonts w:ascii="宋体" w:hAnsi="宋体" w:cs="宋体"/>
          <w:szCs w:val="21"/>
        </w:rPr>
      </w:pPr>
      <w:r>
        <w:rPr>
          <w:rFonts w:ascii="宋体" w:hAnsi="宋体" w:cs="宋体" w:hint="eastAsia"/>
          <w:szCs w:val="21"/>
        </w:rPr>
        <w:t>对绿色食品</w:t>
      </w:r>
      <w:r>
        <w:rPr>
          <w:rFonts w:ascii="宋体" w:hAnsi="宋体" w:cs="宋体" w:hint="eastAsia"/>
        </w:rPr>
        <w:t>猕猴桃</w:t>
      </w:r>
      <w:r>
        <w:rPr>
          <w:rFonts w:ascii="宋体" w:hAnsi="宋体" w:cs="宋体" w:hint="eastAsia"/>
          <w:szCs w:val="21"/>
        </w:rPr>
        <w:t>的生产过程，要建立起相应的生产档案，明确记录产地环境条件、生产技术、肥水管理、病虫草害的发生和防治、采收及采后处理等情况，并保存至少3年。</w:t>
      </w:r>
    </w:p>
    <w:p w:rsidR="00446713" w:rsidRDefault="00446713" w:rsidP="00405BCF">
      <w:pPr>
        <w:pStyle w:val="1"/>
        <w:spacing w:beforeLines="50" w:afterLines="50" w:line="400" w:lineRule="atLeast"/>
        <w:contextualSpacing/>
        <w:rPr>
          <w:rFonts w:ascii="宋体" w:hAnsi="宋体" w:cs="宋体"/>
        </w:rPr>
      </w:pPr>
    </w:p>
    <w:p w:rsidR="00446713" w:rsidRDefault="00446713">
      <w:pPr>
        <w:spacing w:line="400" w:lineRule="atLeast"/>
        <w:ind w:firstLineChars="200" w:firstLine="420"/>
        <w:contextualSpacing/>
        <w:rPr>
          <w:rFonts w:ascii="宋体" w:hAnsi="宋体" w:cs="宋体"/>
          <w:color w:val="FF0000"/>
          <w:szCs w:val="21"/>
        </w:rPr>
      </w:pPr>
    </w:p>
    <w:p w:rsidR="00446713" w:rsidRDefault="00446713">
      <w:pPr>
        <w:spacing w:line="400" w:lineRule="atLeast"/>
        <w:ind w:firstLineChars="200" w:firstLine="420"/>
        <w:contextualSpacing/>
        <w:rPr>
          <w:rFonts w:ascii="宋体" w:hAnsi="宋体" w:cs="宋体"/>
          <w:color w:val="FF0000"/>
          <w:szCs w:val="21"/>
        </w:rPr>
      </w:pPr>
    </w:p>
    <w:p w:rsidR="00446713" w:rsidRDefault="00446713">
      <w:pPr>
        <w:spacing w:line="400" w:lineRule="atLeast"/>
        <w:ind w:firstLineChars="200" w:firstLine="420"/>
        <w:contextualSpacing/>
        <w:rPr>
          <w:rFonts w:ascii="宋体" w:hAnsi="宋体" w:cs="宋体"/>
          <w:color w:val="FF0000"/>
          <w:szCs w:val="21"/>
        </w:rPr>
      </w:pPr>
    </w:p>
    <w:p w:rsidR="00446713" w:rsidRDefault="00446713">
      <w:pPr>
        <w:spacing w:line="400" w:lineRule="atLeast"/>
        <w:ind w:firstLineChars="200" w:firstLine="420"/>
        <w:contextualSpacing/>
        <w:jc w:val="center"/>
        <w:rPr>
          <w:rFonts w:ascii="黑体" w:eastAsia="黑体" w:hAnsi="Times New Roman"/>
          <w:kern w:val="0"/>
          <w:szCs w:val="21"/>
        </w:rPr>
      </w:pPr>
    </w:p>
    <w:p w:rsidR="00446713" w:rsidRDefault="00446713">
      <w:pPr>
        <w:spacing w:line="400" w:lineRule="atLeast"/>
        <w:ind w:firstLineChars="200" w:firstLine="420"/>
        <w:contextualSpacing/>
        <w:jc w:val="center"/>
        <w:rPr>
          <w:rFonts w:ascii="黑体" w:eastAsia="黑体" w:hAnsi="Times New Roman"/>
          <w:kern w:val="0"/>
          <w:szCs w:val="21"/>
        </w:rPr>
      </w:pPr>
    </w:p>
    <w:p w:rsidR="00446713" w:rsidRDefault="00446713">
      <w:pPr>
        <w:spacing w:line="400" w:lineRule="atLeast"/>
        <w:ind w:firstLineChars="200" w:firstLine="420"/>
        <w:contextualSpacing/>
        <w:jc w:val="center"/>
        <w:rPr>
          <w:rFonts w:ascii="黑体" w:eastAsia="黑体" w:hAnsi="Times New Roman"/>
          <w:kern w:val="0"/>
          <w:szCs w:val="21"/>
        </w:rPr>
      </w:pPr>
    </w:p>
    <w:p w:rsidR="00446713" w:rsidRDefault="00446713">
      <w:pPr>
        <w:spacing w:line="400" w:lineRule="atLeast"/>
        <w:ind w:firstLineChars="200" w:firstLine="420"/>
        <w:contextualSpacing/>
        <w:jc w:val="center"/>
        <w:rPr>
          <w:rFonts w:ascii="黑体" w:eastAsia="黑体" w:hAnsi="Times New Roman"/>
          <w:kern w:val="0"/>
          <w:szCs w:val="21"/>
        </w:rPr>
      </w:pPr>
    </w:p>
    <w:p w:rsidR="00446713" w:rsidRDefault="00446713">
      <w:pPr>
        <w:spacing w:line="400" w:lineRule="atLeast"/>
        <w:ind w:firstLineChars="200" w:firstLine="420"/>
        <w:contextualSpacing/>
        <w:jc w:val="center"/>
        <w:rPr>
          <w:rFonts w:ascii="黑体" w:eastAsia="黑体" w:hAnsi="Times New Roman"/>
          <w:kern w:val="0"/>
          <w:szCs w:val="21"/>
        </w:rPr>
      </w:pPr>
    </w:p>
    <w:p w:rsidR="00446713" w:rsidRDefault="00446713">
      <w:pPr>
        <w:spacing w:line="400" w:lineRule="atLeast"/>
        <w:ind w:firstLineChars="200" w:firstLine="420"/>
        <w:contextualSpacing/>
        <w:jc w:val="center"/>
        <w:rPr>
          <w:rFonts w:ascii="黑体" w:eastAsia="黑体" w:hAnsi="Times New Roman"/>
          <w:kern w:val="0"/>
          <w:szCs w:val="21"/>
        </w:rPr>
      </w:pPr>
    </w:p>
    <w:p w:rsidR="00446713" w:rsidRDefault="00446713">
      <w:pPr>
        <w:spacing w:line="400" w:lineRule="atLeast"/>
        <w:ind w:firstLineChars="200" w:firstLine="420"/>
        <w:contextualSpacing/>
        <w:jc w:val="center"/>
        <w:rPr>
          <w:rFonts w:ascii="黑体" w:eastAsia="黑体" w:hAnsi="Times New Roman"/>
          <w:kern w:val="0"/>
          <w:szCs w:val="21"/>
        </w:rPr>
      </w:pPr>
    </w:p>
    <w:p w:rsidR="00446713" w:rsidRDefault="00446713">
      <w:pPr>
        <w:spacing w:line="400" w:lineRule="atLeast"/>
        <w:ind w:firstLineChars="200" w:firstLine="420"/>
        <w:contextualSpacing/>
        <w:jc w:val="center"/>
        <w:rPr>
          <w:rFonts w:ascii="黑体" w:eastAsia="黑体" w:hAnsi="Times New Roman"/>
          <w:kern w:val="0"/>
          <w:szCs w:val="21"/>
        </w:rPr>
      </w:pPr>
    </w:p>
    <w:p w:rsidR="00446713" w:rsidRDefault="00446713">
      <w:pPr>
        <w:spacing w:line="400" w:lineRule="atLeast"/>
        <w:ind w:firstLineChars="200" w:firstLine="420"/>
        <w:contextualSpacing/>
        <w:jc w:val="center"/>
        <w:rPr>
          <w:rFonts w:ascii="黑体" w:eastAsia="黑体" w:hAnsi="Times New Roman"/>
          <w:kern w:val="0"/>
          <w:szCs w:val="21"/>
        </w:rPr>
      </w:pPr>
    </w:p>
    <w:p w:rsidR="00446713" w:rsidRDefault="00446713">
      <w:pPr>
        <w:spacing w:line="400" w:lineRule="atLeast"/>
        <w:ind w:firstLineChars="200" w:firstLine="420"/>
        <w:contextualSpacing/>
        <w:jc w:val="center"/>
        <w:rPr>
          <w:rFonts w:ascii="黑体" w:eastAsia="黑体" w:hAnsi="Times New Roman"/>
          <w:kern w:val="0"/>
          <w:szCs w:val="21"/>
        </w:rPr>
      </w:pPr>
    </w:p>
    <w:p w:rsidR="00446713" w:rsidRDefault="00446713">
      <w:pPr>
        <w:spacing w:line="400" w:lineRule="atLeast"/>
        <w:ind w:firstLineChars="200" w:firstLine="420"/>
        <w:contextualSpacing/>
        <w:jc w:val="center"/>
        <w:rPr>
          <w:rFonts w:ascii="黑体" w:eastAsia="黑体" w:hAnsi="Times New Roman"/>
          <w:kern w:val="0"/>
          <w:szCs w:val="21"/>
        </w:rPr>
      </w:pPr>
    </w:p>
    <w:p w:rsidR="00446713" w:rsidRDefault="00446713">
      <w:pPr>
        <w:spacing w:line="400" w:lineRule="atLeast"/>
        <w:ind w:firstLineChars="200" w:firstLine="420"/>
        <w:contextualSpacing/>
        <w:jc w:val="center"/>
        <w:rPr>
          <w:rFonts w:ascii="黑体" w:eastAsia="黑体" w:hAnsi="Times New Roman"/>
          <w:kern w:val="0"/>
          <w:szCs w:val="21"/>
        </w:rPr>
      </w:pPr>
    </w:p>
    <w:p w:rsidR="00446713" w:rsidRDefault="00446713">
      <w:pPr>
        <w:spacing w:line="400" w:lineRule="atLeast"/>
        <w:ind w:firstLineChars="200" w:firstLine="420"/>
        <w:contextualSpacing/>
        <w:jc w:val="center"/>
        <w:rPr>
          <w:rFonts w:ascii="黑体" w:eastAsia="黑体" w:hAnsi="Times New Roman" w:hint="eastAsia"/>
          <w:kern w:val="0"/>
          <w:szCs w:val="21"/>
        </w:rPr>
      </w:pPr>
    </w:p>
    <w:p w:rsidR="00405BCF" w:rsidRDefault="00405BCF">
      <w:pPr>
        <w:spacing w:line="400" w:lineRule="atLeast"/>
        <w:ind w:firstLineChars="200" w:firstLine="420"/>
        <w:contextualSpacing/>
        <w:jc w:val="center"/>
        <w:rPr>
          <w:rFonts w:ascii="黑体" w:eastAsia="黑体" w:hAnsi="Times New Roman" w:hint="eastAsia"/>
          <w:kern w:val="0"/>
          <w:szCs w:val="21"/>
        </w:rPr>
      </w:pPr>
    </w:p>
    <w:p w:rsidR="00405BCF" w:rsidRDefault="00405BCF">
      <w:pPr>
        <w:spacing w:line="400" w:lineRule="atLeast"/>
        <w:ind w:firstLineChars="200" w:firstLine="420"/>
        <w:contextualSpacing/>
        <w:jc w:val="center"/>
        <w:rPr>
          <w:rFonts w:ascii="黑体" w:eastAsia="黑体" w:hAnsi="Times New Roman"/>
          <w:kern w:val="0"/>
          <w:szCs w:val="21"/>
        </w:rPr>
      </w:pPr>
    </w:p>
    <w:p w:rsidR="00446713" w:rsidRDefault="00446713">
      <w:pPr>
        <w:spacing w:line="400" w:lineRule="atLeast"/>
        <w:ind w:firstLineChars="200" w:firstLine="420"/>
        <w:contextualSpacing/>
        <w:jc w:val="center"/>
        <w:rPr>
          <w:rFonts w:ascii="黑体" w:eastAsia="黑体" w:hAnsi="Times New Roman"/>
          <w:kern w:val="0"/>
          <w:szCs w:val="21"/>
        </w:rPr>
      </w:pPr>
    </w:p>
    <w:p w:rsidR="00446713" w:rsidRDefault="00446713">
      <w:pPr>
        <w:spacing w:line="400" w:lineRule="atLeast"/>
        <w:ind w:firstLineChars="200" w:firstLine="420"/>
        <w:contextualSpacing/>
        <w:jc w:val="center"/>
        <w:rPr>
          <w:rFonts w:ascii="黑体" w:eastAsia="黑体" w:hAnsi="Times New Roman"/>
          <w:kern w:val="0"/>
          <w:szCs w:val="21"/>
        </w:rPr>
      </w:pPr>
    </w:p>
    <w:p w:rsidR="00446713" w:rsidRDefault="00446713">
      <w:pPr>
        <w:spacing w:line="400" w:lineRule="atLeast"/>
        <w:ind w:firstLineChars="200" w:firstLine="420"/>
        <w:contextualSpacing/>
        <w:jc w:val="center"/>
        <w:rPr>
          <w:rFonts w:ascii="黑体" w:eastAsia="黑体" w:hAnsi="Times New Roman"/>
          <w:kern w:val="0"/>
          <w:szCs w:val="21"/>
        </w:rPr>
      </w:pPr>
    </w:p>
    <w:p w:rsidR="00446713" w:rsidRDefault="00E72BF7">
      <w:pPr>
        <w:spacing w:line="400" w:lineRule="atLeast"/>
        <w:ind w:firstLineChars="200" w:firstLine="420"/>
        <w:contextualSpacing/>
        <w:jc w:val="center"/>
        <w:rPr>
          <w:rFonts w:ascii="黑体" w:eastAsia="黑体" w:hAnsi="Times New Roman"/>
          <w:kern w:val="0"/>
          <w:szCs w:val="21"/>
        </w:rPr>
      </w:pPr>
      <w:r>
        <w:rPr>
          <w:rFonts w:ascii="黑体" w:eastAsia="黑体" w:hAnsi="Times New Roman" w:hint="eastAsia"/>
          <w:kern w:val="0"/>
          <w:szCs w:val="21"/>
        </w:rPr>
        <w:lastRenderedPageBreak/>
        <w:t>附录A</w:t>
      </w:r>
    </w:p>
    <w:p w:rsidR="00446713" w:rsidRDefault="00E72BF7">
      <w:pPr>
        <w:spacing w:line="400" w:lineRule="atLeast"/>
        <w:ind w:firstLineChars="200" w:firstLine="420"/>
        <w:contextualSpacing/>
        <w:jc w:val="center"/>
        <w:rPr>
          <w:rFonts w:ascii="黑体" w:eastAsia="黑体" w:hAnsi="Times New Roman"/>
          <w:kern w:val="0"/>
          <w:szCs w:val="21"/>
        </w:rPr>
      </w:pPr>
      <w:r>
        <w:rPr>
          <w:rFonts w:ascii="黑体" w:eastAsia="黑体" w:hAnsi="Times New Roman" w:hint="eastAsia"/>
          <w:kern w:val="0"/>
          <w:szCs w:val="21"/>
        </w:rPr>
        <w:t>（资料性附录）</w:t>
      </w:r>
    </w:p>
    <w:p w:rsidR="00446713" w:rsidRDefault="00E72BF7">
      <w:pPr>
        <w:spacing w:line="400" w:lineRule="atLeast"/>
        <w:ind w:firstLineChars="200" w:firstLine="420"/>
        <w:contextualSpacing/>
        <w:jc w:val="center"/>
        <w:rPr>
          <w:rFonts w:ascii="黑体" w:eastAsia="黑体" w:hAnsi="Times New Roman"/>
          <w:kern w:val="0"/>
          <w:szCs w:val="21"/>
        </w:rPr>
      </w:pPr>
      <w:r>
        <w:rPr>
          <w:rFonts w:ascii="黑体" w:eastAsia="黑体" w:hAnsi="Times New Roman" w:hint="eastAsia"/>
          <w:kern w:val="0"/>
          <w:szCs w:val="21"/>
        </w:rPr>
        <w:t>长江流域 绿色食品猕猴桃生产主要病虫害防治方法及推荐农药使用方案</w:t>
      </w:r>
    </w:p>
    <w:p w:rsidR="00446713" w:rsidRDefault="00446713">
      <w:pPr>
        <w:spacing w:line="400" w:lineRule="atLeast"/>
        <w:ind w:firstLineChars="200" w:firstLine="420"/>
        <w:contextualSpacing/>
        <w:jc w:val="center"/>
        <w:rPr>
          <w:rFonts w:ascii="黑体" w:eastAsia="黑体" w:hAnsi="Times New Roman"/>
          <w:kern w:val="0"/>
          <w:szCs w:val="21"/>
        </w:rPr>
      </w:pPr>
    </w:p>
    <w:tbl>
      <w:tblPr>
        <w:tblW w:w="10390" w:type="dxa"/>
        <w:jc w:val="center"/>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5"/>
        <w:gridCol w:w="2180"/>
        <w:gridCol w:w="2287"/>
        <w:gridCol w:w="1646"/>
        <w:gridCol w:w="1092"/>
        <w:gridCol w:w="1310"/>
      </w:tblGrid>
      <w:tr w:rsidR="00446713">
        <w:trPr>
          <w:trHeight w:val="454"/>
          <w:jc w:val="center"/>
        </w:trPr>
        <w:tc>
          <w:tcPr>
            <w:tcW w:w="1875" w:type="dxa"/>
            <w:vAlign w:val="center"/>
          </w:tcPr>
          <w:p w:rsidR="00446713" w:rsidRDefault="00E72BF7">
            <w:pPr>
              <w:widowControl/>
              <w:adjustRightInd w:val="0"/>
              <w:snapToGrid w:val="0"/>
              <w:jc w:val="center"/>
              <w:rPr>
                <w:rFonts w:ascii="宋体" w:hAnsi="宋体"/>
                <w:color w:val="000000"/>
                <w:kern w:val="0"/>
                <w:szCs w:val="21"/>
              </w:rPr>
            </w:pPr>
            <w:r>
              <w:rPr>
                <w:rFonts w:ascii="宋体" w:hAnsi="宋体"/>
                <w:color w:val="000000"/>
                <w:kern w:val="0"/>
                <w:szCs w:val="21"/>
              </w:rPr>
              <w:t>防治对象</w:t>
            </w:r>
          </w:p>
        </w:tc>
        <w:tc>
          <w:tcPr>
            <w:tcW w:w="2180" w:type="dxa"/>
            <w:vAlign w:val="center"/>
          </w:tcPr>
          <w:p w:rsidR="00446713" w:rsidRDefault="00E72BF7">
            <w:pPr>
              <w:widowControl/>
              <w:adjustRightInd w:val="0"/>
              <w:snapToGrid w:val="0"/>
              <w:jc w:val="center"/>
              <w:rPr>
                <w:rFonts w:ascii="宋体" w:hAnsi="宋体"/>
                <w:color w:val="000000"/>
                <w:kern w:val="0"/>
                <w:szCs w:val="21"/>
              </w:rPr>
            </w:pPr>
            <w:r>
              <w:rPr>
                <w:rFonts w:ascii="宋体" w:hAnsi="宋体"/>
                <w:color w:val="000000"/>
                <w:kern w:val="0"/>
                <w:szCs w:val="21"/>
              </w:rPr>
              <w:t>防治时期</w:t>
            </w:r>
          </w:p>
        </w:tc>
        <w:tc>
          <w:tcPr>
            <w:tcW w:w="2287" w:type="dxa"/>
            <w:vAlign w:val="center"/>
          </w:tcPr>
          <w:p w:rsidR="00446713" w:rsidRDefault="00E72BF7">
            <w:pPr>
              <w:widowControl/>
              <w:adjustRightInd w:val="0"/>
              <w:snapToGrid w:val="0"/>
              <w:jc w:val="center"/>
              <w:rPr>
                <w:rFonts w:ascii="宋体" w:hAnsi="宋体"/>
                <w:color w:val="000000"/>
                <w:kern w:val="0"/>
                <w:szCs w:val="21"/>
              </w:rPr>
            </w:pPr>
            <w:r>
              <w:rPr>
                <w:rFonts w:ascii="宋体" w:hAnsi="宋体"/>
                <w:color w:val="000000"/>
                <w:kern w:val="0"/>
                <w:szCs w:val="21"/>
              </w:rPr>
              <w:t>农药</w:t>
            </w:r>
            <w:r>
              <w:rPr>
                <w:rFonts w:ascii="宋体" w:hAnsi="宋体" w:hint="eastAsia"/>
                <w:color w:val="000000"/>
                <w:kern w:val="0"/>
                <w:szCs w:val="21"/>
              </w:rPr>
              <w:t>名称</w:t>
            </w:r>
          </w:p>
        </w:tc>
        <w:tc>
          <w:tcPr>
            <w:tcW w:w="1646" w:type="dxa"/>
            <w:vAlign w:val="center"/>
          </w:tcPr>
          <w:p w:rsidR="00446713" w:rsidRDefault="00E72BF7">
            <w:pPr>
              <w:widowControl/>
              <w:adjustRightInd w:val="0"/>
              <w:snapToGrid w:val="0"/>
              <w:jc w:val="center"/>
              <w:rPr>
                <w:rFonts w:ascii="宋体" w:hAnsi="宋体"/>
                <w:color w:val="000000"/>
                <w:kern w:val="0"/>
                <w:szCs w:val="21"/>
              </w:rPr>
            </w:pPr>
            <w:r>
              <w:rPr>
                <w:rFonts w:ascii="宋体" w:hAnsi="宋体"/>
                <w:color w:val="000000"/>
                <w:kern w:val="0"/>
                <w:szCs w:val="21"/>
              </w:rPr>
              <w:t>使用量</w:t>
            </w:r>
          </w:p>
        </w:tc>
        <w:tc>
          <w:tcPr>
            <w:tcW w:w="1092" w:type="dxa"/>
            <w:vAlign w:val="center"/>
          </w:tcPr>
          <w:p w:rsidR="00446713" w:rsidRDefault="00E72BF7">
            <w:pPr>
              <w:widowControl/>
              <w:adjustRightInd w:val="0"/>
              <w:snapToGrid w:val="0"/>
              <w:jc w:val="center"/>
              <w:rPr>
                <w:rFonts w:ascii="宋体" w:hAnsi="宋体"/>
                <w:color w:val="000000"/>
                <w:kern w:val="0"/>
                <w:szCs w:val="21"/>
              </w:rPr>
            </w:pPr>
            <w:r>
              <w:rPr>
                <w:rFonts w:ascii="宋体" w:hAnsi="宋体" w:hint="eastAsia"/>
                <w:color w:val="000000"/>
                <w:kern w:val="0"/>
                <w:szCs w:val="21"/>
              </w:rPr>
              <w:t>使用</w:t>
            </w:r>
            <w:r>
              <w:rPr>
                <w:rFonts w:ascii="宋体" w:hAnsi="宋体"/>
                <w:color w:val="000000"/>
                <w:kern w:val="0"/>
                <w:szCs w:val="21"/>
              </w:rPr>
              <w:t>方法</w:t>
            </w:r>
          </w:p>
        </w:tc>
        <w:tc>
          <w:tcPr>
            <w:tcW w:w="1310" w:type="dxa"/>
            <w:vAlign w:val="center"/>
          </w:tcPr>
          <w:p w:rsidR="00446713" w:rsidRDefault="00E72BF7">
            <w:pPr>
              <w:widowControl/>
              <w:adjustRightInd w:val="0"/>
              <w:snapToGrid w:val="0"/>
              <w:jc w:val="center"/>
              <w:rPr>
                <w:rFonts w:ascii="宋体" w:hAnsi="宋体"/>
                <w:color w:val="000000"/>
                <w:kern w:val="0"/>
                <w:szCs w:val="21"/>
              </w:rPr>
            </w:pPr>
            <w:r>
              <w:rPr>
                <w:rFonts w:ascii="宋体" w:hAnsi="宋体"/>
                <w:color w:val="000000"/>
                <w:kern w:val="0"/>
                <w:szCs w:val="21"/>
              </w:rPr>
              <w:t>安全间隔</w:t>
            </w:r>
            <w:r>
              <w:rPr>
                <w:rFonts w:ascii="宋体" w:hAnsi="宋体" w:hint="eastAsia"/>
                <w:color w:val="000000"/>
                <w:kern w:val="0"/>
                <w:szCs w:val="21"/>
              </w:rPr>
              <w:t>期（天）</w:t>
            </w:r>
          </w:p>
        </w:tc>
      </w:tr>
      <w:tr w:rsidR="00405BCF">
        <w:trPr>
          <w:trHeight w:val="447"/>
          <w:jc w:val="center"/>
        </w:trPr>
        <w:tc>
          <w:tcPr>
            <w:tcW w:w="1875" w:type="dxa"/>
            <w:vAlign w:val="center"/>
          </w:tcPr>
          <w:p w:rsidR="00405BCF" w:rsidRDefault="00405BCF">
            <w:pPr>
              <w:widowControl/>
              <w:adjustRightInd w:val="0"/>
              <w:snapToGrid w:val="0"/>
              <w:jc w:val="center"/>
              <w:rPr>
                <w:rFonts w:ascii="宋体" w:hAnsi="宋体"/>
                <w:color w:val="000000"/>
                <w:kern w:val="0"/>
                <w:szCs w:val="21"/>
              </w:rPr>
            </w:pPr>
            <w:r>
              <w:rPr>
                <w:rFonts w:ascii="宋体" w:hAnsi="宋体" w:hint="eastAsia"/>
                <w:color w:val="000000"/>
                <w:kern w:val="0"/>
                <w:szCs w:val="21"/>
              </w:rPr>
              <w:t>褐斑病</w:t>
            </w:r>
          </w:p>
        </w:tc>
        <w:tc>
          <w:tcPr>
            <w:tcW w:w="2180" w:type="dxa"/>
            <w:vAlign w:val="center"/>
          </w:tcPr>
          <w:p w:rsidR="00405BCF" w:rsidRDefault="00405BCF">
            <w:pPr>
              <w:widowControl/>
              <w:adjustRightInd w:val="0"/>
              <w:snapToGrid w:val="0"/>
              <w:jc w:val="center"/>
              <w:rPr>
                <w:rFonts w:ascii="宋体" w:hAnsi="宋体"/>
                <w:color w:val="000000"/>
                <w:kern w:val="0"/>
                <w:szCs w:val="21"/>
              </w:rPr>
            </w:pPr>
          </w:p>
          <w:p w:rsidR="00405BCF" w:rsidRDefault="00405BCF">
            <w:pPr>
              <w:widowControl/>
              <w:adjustRightInd w:val="0"/>
              <w:snapToGrid w:val="0"/>
              <w:jc w:val="center"/>
              <w:rPr>
                <w:rFonts w:ascii="宋体" w:hAnsi="宋体"/>
                <w:color w:val="000000"/>
                <w:kern w:val="0"/>
                <w:szCs w:val="21"/>
              </w:rPr>
            </w:pPr>
            <w:r>
              <w:rPr>
                <w:rFonts w:ascii="宋体" w:hAnsi="宋体" w:hint="eastAsia"/>
                <w:color w:val="000000"/>
                <w:kern w:val="0"/>
                <w:szCs w:val="21"/>
              </w:rPr>
              <w:t>5-6月</w:t>
            </w:r>
          </w:p>
        </w:tc>
        <w:tc>
          <w:tcPr>
            <w:tcW w:w="2287" w:type="dxa"/>
            <w:vAlign w:val="center"/>
          </w:tcPr>
          <w:p w:rsidR="00405BCF" w:rsidRDefault="00405BCF" w:rsidP="00FE12D5">
            <w:pPr>
              <w:pStyle w:val="a4"/>
              <w:widowControl/>
              <w:adjustRightInd w:val="0"/>
              <w:snapToGrid w:val="0"/>
              <w:jc w:val="center"/>
              <w:rPr>
                <w:rFonts w:ascii="宋体" w:hAnsi="宋体"/>
                <w:color w:val="000000"/>
                <w:kern w:val="0"/>
                <w:szCs w:val="21"/>
              </w:rPr>
            </w:pPr>
            <w:r>
              <w:rPr>
                <w:rFonts w:ascii="宋体" w:hAnsi="宋体" w:hint="eastAsia"/>
                <w:color w:val="000000"/>
                <w:kern w:val="0"/>
                <w:szCs w:val="21"/>
              </w:rPr>
              <w:t>0.5%小檗碱</w:t>
            </w:r>
          </w:p>
        </w:tc>
        <w:tc>
          <w:tcPr>
            <w:tcW w:w="1646" w:type="dxa"/>
            <w:vAlign w:val="center"/>
          </w:tcPr>
          <w:p w:rsidR="00405BCF" w:rsidRDefault="00405BCF" w:rsidP="00FE12D5">
            <w:pPr>
              <w:pStyle w:val="a4"/>
              <w:widowControl/>
              <w:adjustRightInd w:val="0"/>
              <w:snapToGrid w:val="0"/>
              <w:jc w:val="center"/>
              <w:rPr>
                <w:rFonts w:ascii="宋体" w:hAnsi="宋体"/>
                <w:color w:val="000000"/>
                <w:kern w:val="0"/>
                <w:szCs w:val="21"/>
              </w:rPr>
            </w:pPr>
            <w:r>
              <w:rPr>
                <w:rFonts w:ascii="宋体" w:hAnsi="宋体" w:hint="eastAsia"/>
                <w:color w:val="000000"/>
                <w:kern w:val="0"/>
                <w:szCs w:val="21"/>
              </w:rPr>
              <w:t>400-500倍</w:t>
            </w:r>
          </w:p>
        </w:tc>
        <w:tc>
          <w:tcPr>
            <w:tcW w:w="1092" w:type="dxa"/>
            <w:vAlign w:val="center"/>
          </w:tcPr>
          <w:p w:rsidR="00405BCF" w:rsidRDefault="00405BCF" w:rsidP="00FE12D5">
            <w:pPr>
              <w:widowControl/>
              <w:adjustRightInd w:val="0"/>
              <w:snapToGrid w:val="0"/>
              <w:jc w:val="center"/>
              <w:rPr>
                <w:rFonts w:ascii="宋体" w:hAnsi="宋体"/>
                <w:color w:val="000000"/>
                <w:kern w:val="0"/>
                <w:szCs w:val="21"/>
              </w:rPr>
            </w:pPr>
            <w:r>
              <w:rPr>
                <w:rFonts w:ascii="宋体" w:hAnsi="宋体" w:hint="eastAsia"/>
                <w:color w:val="000000"/>
                <w:kern w:val="0"/>
                <w:szCs w:val="21"/>
              </w:rPr>
              <w:t>喷雾</w:t>
            </w:r>
          </w:p>
        </w:tc>
        <w:tc>
          <w:tcPr>
            <w:tcW w:w="1310" w:type="dxa"/>
            <w:vAlign w:val="center"/>
          </w:tcPr>
          <w:p w:rsidR="00405BCF" w:rsidRDefault="00405BCF" w:rsidP="00FE12D5">
            <w:pPr>
              <w:widowControl/>
              <w:adjustRightInd w:val="0"/>
              <w:snapToGrid w:val="0"/>
              <w:jc w:val="center"/>
              <w:rPr>
                <w:rFonts w:ascii="宋体" w:hAnsi="宋体"/>
                <w:color w:val="000000"/>
                <w:kern w:val="0"/>
                <w:szCs w:val="21"/>
              </w:rPr>
            </w:pPr>
            <w:r>
              <w:rPr>
                <w:rFonts w:ascii="宋体" w:hAnsi="宋体" w:hint="eastAsia"/>
                <w:color w:val="000000"/>
                <w:kern w:val="0"/>
                <w:szCs w:val="21"/>
              </w:rPr>
              <w:t>10</w:t>
            </w:r>
          </w:p>
        </w:tc>
      </w:tr>
      <w:tr w:rsidR="00405BCF">
        <w:trPr>
          <w:trHeight w:val="454"/>
          <w:jc w:val="center"/>
        </w:trPr>
        <w:tc>
          <w:tcPr>
            <w:tcW w:w="1875" w:type="dxa"/>
            <w:vAlign w:val="center"/>
          </w:tcPr>
          <w:p w:rsidR="00405BCF" w:rsidRDefault="00405BCF">
            <w:pPr>
              <w:widowControl/>
              <w:adjustRightInd w:val="0"/>
              <w:snapToGrid w:val="0"/>
              <w:jc w:val="center"/>
              <w:rPr>
                <w:rFonts w:ascii="宋体" w:hAnsi="宋体"/>
                <w:color w:val="000000"/>
                <w:kern w:val="0"/>
                <w:szCs w:val="21"/>
              </w:rPr>
            </w:pPr>
            <w:r>
              <w:rPr>
                <w:rFonts w:ascii="宋体" w:hAnsi="宋体" w:hint="eastAsia"/>
                <w:color w:val="000000"/>
                <w:kern w:val="0"/>
                <w:szCs w:val="21"/>
              </w:rPr>
              <w:t>花腐病</w:t>
            </w:r>
          </w:p>
        </w:tc>
        <w:tc>
          <w:tcPr>
            <w:tcW w:w="2180" w:type="dxa"/>
            <w:vAlign w:val="center"/>
          </w:tcPr>
          <w:p w:rsidR="00405BCF" w:rsidRDefault="00405BCF" w:rsidP="000361B6">
            <w:pPr>
              <w:widowControl/>
              <w:adjustRightInd w:val="0"/>
              <w:snapToGrid w:val="0"/>
              <w:jc w:val="center"/>
              <w:rPr>
                <w:rFonts w:ascii="宋体" w:hAnsi="宋体"/>
                <w:color w:val="000000"/>
                <w:kern w:val="0"/>
                <w:szCs w:val="21"/>
              </w:rPr>
            </w:pPr>
            <w:r>
              <w:rPr>
                <w:rFonts w:ascii="宋体" w:hAnsi="宋体" w:hint="eastAsia"/>
                <w:color w:val="000000"/>
                <w:kern w:val="0"/>
                <w:szCs w:val="21"/>
              </w:rPr>
              <w:t>4-5月</w:t>
            </w:r>
          </w:p>
        </w:tc>
        <w:tc>
          <w:tcPr>
            <w:tcW w:w="2287" w:type="dxa"/>
            <w:vAlign w:val="center"/>
          </w:tcPr>
          <w:p w:rsidR="00405BCF" w:rsidRDefault="00405BCF" w:rsidP="000361B6">
            <w:pPr>
              <w:pStyle w:val="a4"/>
              <w:widowControl/>
              <w:adjustRightInd w:val="0"/>
              <w:snapToGrid w:val="0"/>
              <w:ind w:firstLineChars="200" w:firstLine="420"/>
              <w:jc w:val="center"/>
              <w:rPr>
                <w:rFonts w:ascii="宋体" w:hAnsi="宋体"/>
                <w:color w:val="000000"/>
                <w:kern w:val="0"/>
                <w:sz w:val="18"/>
                <w:szCs w:val="21"/>
              </w:rPr>
            </w:pPr>
            <w:r>
              <w:rPr>
                <w:rFonts w:ascii="宋体" w:hAnsi="宋体" w:hint="eastAsia"/>
                <w:color w:val="000000"/>
                <w:kern w:val="0"/>
                <w:szCs w:val="21"/>
              </w:rPr>
              <w:t>40%春雷·噻唑锌</w:t>
            </w:r>
          </w:p>
        </w:tc>
        <w:tc>
          <w:tcPr>
            <w:tcW w:w="1646" w:type="dxa"/>
            <w:vAlign w:val="center"/>
          </w:tcPr>
          <w:p w:rsidR="00405BCF" w:rsidRDefault="00405BCF" w:rsidP="000361B6">
            <w:pPr>
              <w:pStyle w:val="a4"/>
              <w:widowControl/>
              <w:adjustRightInd w:val="0"/>
              <w:snapToGrid w:val="0"/>
              <w:jc w:val="center"/>
              <w:rPr>
                <w:rFonts w:ascii="宋体" w:hAnsi="宋体"/>
                <w:color w:val="000000"/>
                <w:kern w:val="0"/>
                <w:sz w:val="18"/>
                <w:szCs w:val="21"/>
              </w:rPr>
            </w:pPr>
            <w:r>
              <w:rPr>
                <w:rFonts w:ascii="宋体" w:hAnsi="宋体" w:hint="eastAsia"/>
                <w:color w:val="000000"/>
                <w:kern w:val="0"/>
                <w:szCs w:val="21"/>
              </w:rPr>
              <w:t>800-1200倍</w:t>
            </w:r>
          </w:p>
        </w:tc>
        <w:tc>
          <w:tcPr>
            <w:tcW w:w="1092" w:type="dxa"/>
            <w:vAlign w:val="center"/>
          </w:tcPr>
          <w:p w:rsidR="00405BCF" w:rsidRDefault="00405BCF" w:rsidP="000361B6">
            <w:pPr>
              <w:widowControl/>
              <w:adjustRightInd w:val="0"/>
              <w:snapToGrid w:val="0"/>
              <w:jc w:val="center"/>
              <w:rPr>
                <w:rFonts w:ascii="宋体" w:hAnsi="宋体"/>
                <w:color w:val="000000"/>
                <w:kern w:val="0"/>
                <w:szCs w:val="21"/>
              </w:rPr>
            </w:pPr>
            <w:r>
              <w:rPr>
                <w:rFonts w:ascii="宋体" w:hAnsi="宋体" w:hint="eastAsia"/>
                <w:color w:val="000000"/>
                <w:kern w:val="0"/>
                <w:szCs w:val="21"/>
              </w:rPr>
              <w:t>喷雾</w:t>
            </w:r>
          </w:p>
        </w:tc>
        <w:tc>
          <w:tcPr>
            <w:tcW w:w="1310" w:type="dxa"/>
            <w:vAlign w:val="center"/>
          </w:tcPr>
          <w:p w:rsidR="00405BCF" w:rsidRDefault="00405BCF" w:rsidP="000361B6">
            <w:pPr>
              <w:widowControl/>
              <w:adjustRightInd w:val="0"/>
              <w:snapToGrid w:val="0"/>
              <w:jc w:val="center"/>
              <w:rPr>
                <w:rFonts w:ascii="宋体" w:hAnsi="宋体"/>
                <w:color w:val="000000"/>
                <w:kern w:val="0"/>
                <w:szCs w:val="21"/>
              </w:rPr>
            </w:pPr>
            <w:r>
              <w:rPr>
                <w:rFonts w:ascii="宋体" w:hAnsi="宋体" w:hint="eastAsia"/>
                <w:color w:val="000000"/>
                <w:kern w:val="0"/>
                <w:szCs w:val="21"/>
              </w:rPr>
              <w:t>28</w:t>
            </w:r>
          </w:p>
        </w:tc>
      </w:tr>
      <w:tr w:rsidR="00405BCF">
        <w:trPr>
          <w:trHeight w:val="454"/>
          <w:jc w:val="center"/>
        </w:trPr>
        <w:tc>
          <w:tcPr>
            <w:tcW w:w="1875" w:type="dxa"/>
            <w:vAlign w:val="center"/>
          </w:tcPr>
          <w:p w:rsidR="00405BCF" w:rsidRDefault="00405BCF">
            <w:pPr>
              <w:widowControl/>
              <w:adjustRightInd w:val="0"/>
              <w:snapToGrid w:val="0"/>
              <w:jc w:val="center"/>
              <w:rPr>
                <w:rFonts w:ascii="宋体" w:hAnsi="宋体"/>
                <w:color w:val="000000"/>
                <w:kern w:val="0"/>
                <w:szCs w:val="21"/>
              </w:rPr>
            </w:pPr>
            <w:r>
              <w:rPr>
                <w:rFonts w:ascii="宋体" w:hAnsi="宋体" w:hint="eastAsia"/>
                <w:color w:val="000000"/>
                <w:kern w:val="0"/>
                <w:szCs w:val="21"/>
              </w:rPr>
              <w:t>叶蝉</w:t>
            </w:r>
          </w:p>
        </w:tc>
        <w:tc>
          <w:tcPr>
            <w:tcW w:w="2180" w:type="dxa"/>
            <w:vAlign w:val="center"/>
          </w:tcPr>
          <w:p w:rsidR="00405BCF" w:rsidRDefault="00405BCF">
            <w:pPr>
              <w:widowControl/>
              <w:adjustRightInd w:val="0"/>
              <w:snapToGrid w:val="0"/>
              <w:jc w:val="center"/>
              <w:rPr>
                <w:rFonts w:ascii="宋体" w:hAnsi="宋体"/>
                <w:color w:val="000000"/>
                <w:kern w:val="0"/>
                <w:szCs w:val="21"/>
              </w:rPr>
            </w:pPr>
            <w:r>
              <w:rPr>
                <w:rFonts w:ascii="宋体" w:hAnsi="宋体" w:hint="eastAsia"/>
                <w:color w:val="000000"/>
                <w:kern w:val="0"/>
                <w:szCs w:val="21"/>
              </w:rPr>
              <w:t>5-11月</w:t>
            </w:r>
          </w:p>
        </w:tc>
        <w:tc>
          <w:tcPr>
            <w:tcW w:w="2287" w:type="dxa"/>
            <w:vAlign w:val="center"/>
          </w:tcPr>
          <w:p w:rsidR="00405BCF" w:rsidRDefault="00405BCF">
            <w:pPr>
              <w:widowControl/>
              <w:adjustRightInd w:val="0"/>
              <w:snapToGrid w:val="0"/>
              <w:jc w:val="center"/>
              <w:rPr>
                <w:rFonts w:ascii="宋体" w:hAnsi="宋体"/>
                <w:color w:val="000000"/>
                <w:kern w:val="0"/>
                <w:szCs w:val="21"/>
              </w:rPr>
            </w:pPr>
            <w:r>
              <w:rPr>
                <w:rFonts w:ascii="宋体" w:hAnsi="宋体" w:hint="eastAsia"/>
                <w:color w:val="000000"/>
                <w:kern w:val="0"/>
                <w:szCs w:val="21"/>
              </w:rPr>
              <w:t>1.5%除虫菊素</w:t>
            </w:r>
          </w:p>
        </w:tc>
        <w:tc>
          <w:tcPr>
            <w:tcW w:w="1646" w:type="dxa"/>
            <w:vAlign w:val="center"/>
          </w:tcPr>
          <w:p w:rsidR="00405BCF" w:rsidRDefault="00405BCF">
            <w:pPr>
              <w:widowControl/>
              <w:adjustRightInd w:val="0"/>
              <w:snapToGrid w:val="0"/>
              <w:jc w:val="center"/>
              <w:rPr>
                <w:rFonts w:ascii="宋体" w:hAnsi="宋体"/>
                <w:color w:val="000000"/>
                <w:kern w:val="0"/>
                <w:szCs w:val="21"/>
              </w:rPr>
            </w:pPr>
            <w:r>
              <w:rPr>
                <w:rFonts w:ascii="宋体" w:hAnsi="宋体" w:hint="eastAsia"/>
                <w:color w:val="000000"/>
                <w:kern w:val="0"/>
                <w:szCs w:val="21"/>
              </w:rPr>
              <w:t>600～1000倍</w:t>
            </w:r>
          </w:p>
        </w:tc>
        <w:tc>
          <w:tcPr>
            <w:tcW w:w="1092" w:type="dxa"/>
            <w:vAlign w:val="center"/>
          </w:tcPr>
          <w:p w:rsidR="00405BCF" w:rsidRDefault="00405BCF">
            <w:pPr>
              <w:widowControl/>
              <w:adjustRightInd w:val="0"/>
              <w:snapToGrid w:val="0"/>
              <w:jc w:val="center"/>
              <w:rPr>
                <w:rFonts w:ascii="宋体" w:hAnsi="宋体"/>
                <w:color w:val="000000"/>
                <w:kern w:val="0"/>
                <w:szCs w:val="21"/>
              </w:rPr>
            </w:pPr>
            <w:r>
              <w:rPr>
                <w:rFonts w:ascii="宋体" w:hAnsi="宋体" w:hint="eastAsia"/>
                <w:color w:val="000000"/>
                <w:kern w:val="0"/>
                <w:szCs w:val="21"/>
              </w:rPr>
              <w:t>喷雾</w:t>
            </w:r>
          </w:p>
        </w:tc>
        <w:tc>
          <w:tcPr>
            <w:tcW w:w="1310" w:type="dxa"/>
            <w:vAlign w:val="center"/>
          </w:tcPr>
          <w:p w:rsidR="00405BCF" w:rsidRDefault="00405BCF">
            <w:pPr>
              <w:widowControl/>
              <w:adjustRightInd w:val="0"/>
              <w:snapToGrid w:val="0"/>
              <w:jc w:val="center"/>
              <w:rPr>
                <w:rFonts w:ascii="宋体" w:hAnsi="宋体"/>
                <w:color w:val="000000"/>
                <w:kern w:val="0"/>
                <w:szCs w:val="21"/>
              </w:rPr>
            </w:pPr>
            <w:r>
              <w:rPr>
                <w:rFonts w:ascii="宋体" w:hAnsi="宋体" w:hint="eastAsia"/>
                <w:color w:val="000000"/>
                <w:kern w:val="0"/>
                <w:szCs w:val="21"/>
              </w:rPr>
              <w:t>10</w:t>
            </w:r>
          </w:p>
        </w:tc>
      </w:tr>
      <w:tr w:rsidR="00405BCF">
        <w:trPr>
          <w:trHeight w:val="454"/>
          <w:jc w:val="center"/>
        </w:trPr>
        <w:tc>
          <w:tcPr>
            <w:tcW w:w="10390" w:type="dxa"/>
            <w:gridSpan w:val="6"/>
            <w:vAlign w:val="center"/>
          </w:tcPr>
          <w:p w:rsidR="00405BCF" w:rsidRDefault="00405BCF">
            <w:pPr>
              <w:widowControl/>
              <w:adjustRightInd w:val="0"/>
              <w:snapToGrid w:val="0"/>
              <w:rPr>
                <w:rFonts w:ascii="宋体" w:hAnsi="宋体"/>
                <w:color w:val="000000"/>
                <w:kern w:val="0"/>
                <w:szCs w:val="21"/>
              </w:rPr>
            </w:pPr>
            <w:r>
              <w:rPr>
                <w:rFonts w:ascii="宋体" w:hAnsi="宋体" w:hint="eastAsia"/>
                <w:color w:val="000000"/>
                <w:kern w:val="0"/>
                <w:szCs w:val="21"/>
              </w:rPr>
              <w:t>注：农药使用应以最新版本NY/T393的规定为准。</w:t>
            </w:r>
          </w:p>
        </w:tc>
      </w:tr>
    </w:tbl>
    <w:p w:rsidR="00446713" w:rsidRDefault="00446713">
      <w:pPr>
        <w:pStyle w:val="a7"/>
        <w:ind w:firstLineChars="0" w:firstLine="0"/>
        <w:rPr>
          <w:rFonts w:hAnsi="宋体" w:cs="宋体"/>
          <w:kern w:val="2"/>
          <w:szCs w:val="21"/>
        </w:rPr>
      </w:pPr>
    </w:p>
    <w:sectPr w:rsidR="00446713" w:rsidSect="00C75D9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曾小菜">
    <w15:presenceInfo w15:providerId="WPS Office" w15:userId="336914125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
  <w:rsids>
    <w:rsidRoot w:val="6EB467F1"/>
    <w:rsid w:val="0013463F"/>
    <w:rsid w:val="00194288"/>
    <w:rsid w:val="001D0561"/>
    <w:rsid w:val="001E1A87"/>
    <w:rsid w:val="00405BCF"/>
    <w:rsid w:val="00446713"/>
    <w:rsid w:val="004B6997"/>
    <w:rsid w:val="00591796"/>
    <w:rsid w:val="005A004B"/>
    <w:rsid w:val="006941FE"/>
    <w:rsid w:val="008C5475"/>
    <w:rsid w:val="00A1230C"/>
    <w:rsid w:val="00A51007"/>
    <w:rsid w:val="00A96B5F"/>
    <w:rsid w:val="00AF5167"/>
    <w:rsid w:val="00C75D97"/>
    <w:rsid w:val="00CD6F8B"/>
    <w:rsid w:val="00CD7BEA"/>
    <w:rsid w:val="00CF73C0"/>
    <w:rsid w:val="00D44B65"/>
    <w:rsid w:val="00E72BF7"/>
    <w:rsid w:val="00F578FB"/>
    <w:rsid w:val="05542F2D"/>
    <w:rsid w:val="07C3445B"/>
    <w:rsid w:val="14FE1C20"/>
    <w:rsid w:val="17345EB6"/>
    <w:rsid w:val="181B605B"/>
    <w:rsid w:val="2B867DDC"/>
    <w:rsid w:val="3B2909DD"/>
    <w:rsid w:val="5033173E"/>
    <w:rsid w:val="5DA159EA"/>
    <w:rsid w:val="5E870B93"/>
    <w:rsid w:val="65034E71"/>
    <w:rsid w:val="6A605BB7"/>
    <w:rsid w:val="6EB467F1"/>
    <w:rsid w:val="7FD962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5D9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sid w:val="00C75D97"/>
    <w:rPr>
      <w:rFonts w:ascii="宋体" w:eastAsia="宋体"/>
      <w:sz w:val="18"/>
      <w:szCs w:val="18"/>
    </w:rPr>
  </w:style>
  <w:style w:type="paragraph" w:styleId="a4">
    <w:name w:val="annotation text"/>
    <w:basedOn w:val="a"/>
    <w:qFormat/>
    <w:rsid w:val="00C75D97"/>
    <w:pPr>
      <w:jc w:val="left"/>
    </w:pPr>
  </w:style>
  <w:style w:type="paragraph" w:styleId="a5">
    <w:name w:val="footer"/>
    <w:basedOn w:val="a"/>
    <w:link w:val="Char0"/>
    <w:qFormat/>
    <w:rsid w:val="00C75D97"/>
    <w:pPr>
      <w:tabs>
        <w:tab w:val="center" w:pos="4153"/>
        <w:tab w:val="right" w:pos="8306"/>
      </w:tabs>
      <w:snapToGrid w:val="0"/>
      <w:jc w:val="left"/>
    </w:pPr>
    <w:rPr>
      <w:sz w:val="18"/>
      <w:szCs w:val="18"/>
    </w:rPr>
  </w:style>
  <w:style w:type="paragraph" w:styleId="a6">
    <w:name w:val="header"/>
    <w:basedOn w:val="a"/>
    <w:link w:val="Char1"/>
    <w:qFormat/>
    <w:rsid w:val="00C75D97"/>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qFormat/>
    <w:rsid w:val="00C75D97"/>
    <w:pPr>
      <w:ind w:firstLineChars="200" w:firstLine="420"/>
    </w:pPr>
    <w:rPr>
      <w:rFonts w:ascii="Times New Roman" w:eastAsia="宋体" w:hAnsi="Times New Roman" w:cs="Times New Roman"/>
      <w:szCs w:val="21"/>
    </w:rPr>
  </w:style>
  <w:style w:type="paragraph" w:customStyle="1" w:styleId="a7">
    <w:name w:val="段"/>
    <w:qFormat/>
    <w:rsid w:val="00C75D97"/>
    <w:pPr>
      <w:autoSpaceDE w:val="0"/>
      <w:autoSpaceDN w:val="0"/>
      <w:ind w:firstLineChars="200" w:firstLine="200"/>
      <w:jc w:val="both"/>
    </w:pPr>
    <w:rPr>
      <w:rFonts w:ascii="宋体"/>
      <w:sz w:val="21"/>
    </w:rPr>
  </w:style>
  <w:style w:type="character" w:customStyle="1" w:styleId="Char1">
    <w:name w:val="页眉 Char"/>
    <w:basedOn w:val="a0"/>
    <w:link w:val="a6"/>
    <w:qFormat/>
    <w:rsid w:val="00C75D97"/>
    <w:rPr>
      <w:rFonts w:asciiTheme="minorHAnsi" w:eastAsiaTheme="minorEastAsia" w:hAnsiTheme="minorHAnsi" w:cstheme="minorBidi"/>
      <w:kern w:val="2"/>
      <w:sz w:val="18"/>
      <w:szCs w:val="18"/>
    </w:rPr>
  </w:style>
  <w:style w:type="character" w:customStyle="1" w:styleId="Char0">
    <w:name w:val="页脚 Char"/>
    <w:basedOn w:val="a0"/>
    <w:link w:val="a5"/>
    <w:qFormat/>
    <w:rsid w:val="00C75D97"/>
    <w:rPr>
      <w:rFonts w:asciiTheme="minorHAnsi" w:eastAsiaTheme="minorEastAsia" w:hAnsiTheme="minorHAnsi" w:cstheme="minorBidi"/>
      <w:kern w:val="2"/>
      <w:sz w:val="18"/>
      <w:szCs w:val="18"/>
    </w:rPr>
  </w:style>
  <w:style w:type="character" w:customStyle="1" w:styleId="Char">
    <w:name w:val="文档结构图 Char"/>
    <w:basedOn w:val="a0"/>
    <w:link w:val="a3"/>
    <w:qFormat/>
    <w:rsid w:val="00C75D97"/>
    <w:rPr>
      <w:rFonts w:ascii="宋体" w:hAnsiTheme="minorHAnsi" w:cstheme="minorBidi"/>
      <w:kern w:val="2"/>
      <w:sz w:val="18"/>
      <w:szCs w:val="18"/>
    </w:rPr>
  </w:style>
  <w:style w:type="paragraph" w:styleId="a8">
    <w:name w:val="Balloon Text"/>
    <w:basedOn w:val="a"/>
    <w:link w:val="Char2"/>
    <w:rsid w:val="00194288"/>
    <w:rPr>
      <w:sz w:val="18"/>
      <w:szCs w:val="18"/>
    </w:rPr>
  </w:style>
  <w:style w:type="character" w:customStyle="1" w:styleId="Char2">
    <w:name w:val="批注框文本 Char"/>
    <w:basedOn w:val="a0"/>
    <w:link w:val="a8"/>
    <w:rsid w:val="00194288"/>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Pr>
      <w:rFonts w:ascii="宋体" w:eastAsia="宋体"/>
      <w:sz w:val="18"/>
      <w:szCs w:val="18"/>
    </w:rPr>
  </w:style>
  <w:style w:type="paragraph" w:styleId="a4">
    <w:name w:val="annotation text"/>
    <w:basedOn w:val="a"/>
    <w:qFormat/>
    <w:pPr>
      <w:jc w:val="left"/>
    </w:p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qFormat/>
    <w:pPr>
      <w:ind w:firstLineChars="200" w:firstLine="420"/>
    </w:pPr>
    <w:rPr>
      <w:rFonts w:ascii="Times New Roman" w:eastAsia="宋体" w:hAnsi="Times New Roman" w:cs="Times New Roman"/>
      <w:szCs w:val="21"/>
    </w:rPr>
  </w:style>
  <w:style w:type="paragraph" w:customStyle="1" w:styleId="a7">
    <w:name w:val="段"/>
    <w:qFormat/>
    <w:pPr>
      <w:autoSpaceDE w:val="0"/>
      <w:autoSpaceDN w:val="0"/>
      <w:ind w:firstLineChars="200" w:firstLine="200"/>
      <w:jc w:val="both"/>
    </w:pPr>
    <w:rPr>
      <w:rFonts w:ascii="宋体"/>
      <w:sz w:val="21"/>
    </w:rPr>
  </w:style>
  <w:style w:type="character" w:customStyle="1" w:styleId="Char1">
    <w:name w:val="页眉 Char"/>
    <w:basedOn w:val="a0"/>
    <w:link w:val="a6"/>
    <w:qFormat/>
    <w:rPr>
      <w:rFonts w:asciiTheme="minorHAnsi" w:eastAsiaTheme="minorEastAsia" w:hAnsiTheme="minorHAnsi" w:cstheme="minorBidi"/>
      <w:kern w:val="2"/>
      <w:sz w:val="18"/>
      <w:szCs w:val="18"/>
    </w:rPr>
  </w:style>
  <w:style w:type="character" w:customStyle="1" w:styleId="Char0">
    <w:name w:val="页脚 Char"/>
    <w:basedOn w:val="a0"/>
    <w:link w:val="a5"/>
    <w:qFormat/>
    <w:rPr>
      <w:rFonts w:asciiTheme="minorHAnsi" w:eastAsiaTheme="minorEastAsia" w:hAnsiTheme="minorHAnsi" w:cstheme="minorBidi"/>
      <w:kern w:val="2"/>
      <w:sz w:val="18"/>
      <w:szCs w:val="18"/>
    </w:rPr>
  </w:style>
  <w:style w:type="character" w:customStyle="1" w:styleId="Char">
    <w:name w:val="文档结构图 Char"/>
    <w:basedOn w:val="a0"/>
    <w:link w:val="a3"/>
    <w:qFormat/>
    <w:rPr>
      <w:rFonts w:ascii="宋体" w:hAnsiTheme="minorHAnsi" w:cstheme="minorBidi"/>
      <w:kern w:val="2"/>
      <w:sz w:val="18"/>
      <w:szCs w:val="18"/>
    </w:rPr>
  </w:style>
  <w:style w:type="paragraph" w:styleId="a8">
    <w:name w:val="Balloon Text"/>
    <w:basedOn w:val="a"/>
    <w:link w:val="Char2"/>
    <w:rsid w:val="00194288"/>
    <w:rPr>
      <w:sz w:val="18"/>
      <w:szCs w:val="18"/>
    </w:rPr>
  </w:style>
  <w:style w:type="character" w:customStyle="1" w:styleId="Char2">
    <w:name w:val="批注框文本 Char"/>
    <w:basedOn w:val="a0"/>
    <w:link w:val="a8"/>
    <w:rsid w:val="00194288"/>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07/relationships/stylesWithEffects" Target="stylesWithEffects.xml"/><Relationship Id="rId5" Type="http://schemas.openxmlformats.org/officeDocument/2006/relationships/hyperlink" Target="http://www.sogou.com/link?url=WaeIF24cBDuNg8zvvI4f-XcDSnNkSgqlDQfWjmJ7jBSE5McCcex8QsT3IhDhbGC7reaVHN88tHY."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1008</Words>
  <Characters>5746</Characters>
  <Application>Microsoft Office Word</Application>
  <DocSecurity>0</DocSecurity>
  <Lines>47</Lines>
  <Paragraphs>13</Paragraphs>
  <ScaleCrop>false</ScaleCrop>
  <Company/>
  <LinksUpToDate>false</LinksUpToDate>
  <CharactersWithSpaces>6741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曾小菜</dc:creator>
  <cp:lastModifiedBy>dell</cp:lastModifiedBy>
  <cp:revision>10</cp:revision>
  <dcterms:created xsi:type="dcterms:W3CDTF">2018-12-17T07:11:00Z</dcterms:created>
  <dcterms:modified xsi:type="dcterms:W3CDTF">2020-11-05T01:39:00Z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