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14137C">
      <w:pPr>
        <w:pStyle w:val="146"/>
        <w:spacing w:before="156" w:after="156" w:line="400" w:lineRule="atLeast"/>
        <w:ind w:firstLine="0" w:firstLineChars="0"/>
        <w:contextualSpacing/>
        <w:jc w:val="distribute"/>
        <w:rPr>
          <w:rFonts w:eastAsia="黑体"/>
          <w:sz w:val="48"/>
          <w:szCs w:val="48"/>
        </w:rPr>
      </w:pPr>
      <w:r>
        <w:rPr>
          <w:rFonts w:eastAsia="黑体"/>
          <w:sz w:val="48"/>
          <w:szCs w:val="48"/>
        </w:rPr>
        <w:t>绿色食品生产操作规程</w:t>
      </w:r>
    </w:p>
    <w:p w14:paraId="658C7A24">
      <w:pPr>
        <w:pStyle w:val="146"/>
        <w:wordWrap w:val="0"/>
        <w:spacing w:before="156" w:after="156" w:line="400" w:lineRule="atLeast"/>
        <w:ind w:firstLine="0" w:firstLineChars="0"/>
        <w:contextualSpacing/>
        <w:jc w:val="right"/>
        <w:rPr>
          <w:rFonts w:eastAsia="黑体"/>
          <w:sz w:val="28"/>
          <w:szCs w:val="28"/>
        </w:rPr>
      </w:pPr>
      <w:r>
        <w:rPr>
          <w:rFonts w:eastAsia="黑体"/>
          <w:sz w:val="28"/>
          <w:szCs w:val="28"/>
        </w:rPr>
        <w:t xml:space="preserve">LB/T </w:t>
      </w:r>
      <w:r>
        <w:rPr>
          <w:rFonts w:hint="eastAsia" w:ascii="黑体" w:hAnsi="黑体" w:eastAsia="黑体"/>
          <w:sz w:val="28"/>
          <w:szCs w:val="28"/>
        </w:rPr>
        <w:t>344</w:t>
      </w:r>
      <w:r>
        <w:rPr>
          <w:rFonts w:ascii="黑体" w:hAnsi="黑体" w:eastAsia="黑体"/>
          <w:sz w:val="28"/>
          <w:szCs w:val="28"/>
        </w:rPr>
        <w:t>-2025</w:t>
      </w:r>
    </w:p>
    <w:p w14:paraId="621E4F9C">
      <w:pPr>
        <w:pStyle w:val="146"/>
        <w:spacing w:before="156" w:after="156" w:line="400" w:lineRule="atLeast"/>
        <w:ind w:firstLine="0" w:firstLineChars="0"/>
        <w:contextualSpacing/>
        <w:jc w:val="right"/>
        <w:rPr>
          <w:rFonts w:eastAsia="黑体"/>
          <w:sz w:val="28"/>
          <w:szCs w:val="28"/>
        </w:rPr>
      </w:pPr>
      <w:r>
        <w:rPr>
          <w:rFonts w:eastAsia="黑体"/>
          <w:sz w:val="28"/>
          <w:szCs w:val="28"/>
        </w:rPr>
        <mc:AlternateContent>
          <mc:Choice Requires="wps">
            <w:drawing>
              <wp:anchor distT="0" distB="0" distL="114300" distR="114300" simplePos="0" relativeHeight="251659264" behindDoc="0" locked="0" layoutInCell="1" allowOverlap="1">
                <wp:simplePos x="0" y="0"/>
                <wp:positionH relativeFrom="column">
                  <wp:posOffset>160020</wp:posOffset>
                </wp:positionH>
                <wp:positionV relativeFrom="paragraph">
                  <wp:posOffset>76200</wp:posOffset>
                </wp:positionV>
                <wp:extent cx="5111750" cy="0"/>
                <wp:effectExtent l="0" t="0" r="31750" b="19050"/>
                <wp:wrapNone/>
                <wp:docPr id="15" name="自选图形 3"/>
                <wp:cNvGraphicFramePr/>
                <a:graphic xmlns:a="http://schemas.openxmlformats.org/drawingml/2006/main">
                  <a:graphicData uri="http://schemas.microsoft.com/office/word/2010/wordprocessingShape">
                    <wps:wsp>
                      <wps:cNvCnPr/>
                      <wps:spPr>
                        <a:xfrm>
                          <a:off x="0" y="0"/>
                          <a:ext cx="5112000" cy="0"/>
                        </a:xfrm>
                        <a:prstGeom prst="straightConnector1">
                          <a:avLst/>
                        </a:prstGeom>
                        <a:ln w="9525" cap="flat" cmpd="sng">
                          <a:solidFill>
                            <a:srgbClr val="000000"/>
                          </a:solidFill>
                          <a:prstDash val="solid"/>
                          <a:headEnd type="none" w="med" len="med"/>
                          <a:tailEnd type="none" w="med" len="med"/>
                        </a:ln>
                        <a:effectLst/>
                      </wps:spPr>
                      <wps:bodyPr/>
                    </wps:wsp>
                  </a:graphicData>
                </a:graphic>
              </wp:anchor>
            </w:drawing>
          </mc:Choice>
          <mc:Fallback>
            <w:pict>
              <v:shape id="自选图形 3" o:spid="_x0000_s1026" o:spt="32" type="#_x0000_t32" style="position:absolute;left:0pt;margin-left:12.6pt;margin-top:6pt;height:0pt;width:402.5pt;z-index:251659264;mso-width-relative:page;mso-height-relative:page;" filled="f" stroked="t" coordsize="21600,21600" o:gfxdata="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xJaFv1AAAAAgBAAAPAAAAAAAAAAEAIAAAACIAAABkcnMvZG93bnJldi54bWxQSwEC&#10;FAAUAAAACACHTuJAZVi00fgBAADyAwAADgAAAAAAAAABACAAAAAjAQAAZHJzL2Uyb0RvYy54bWxQ&#10;SwUGAAAAAAYABgBZAQAAjQUAAAAA&#10;">
                <v:fill on="f" focussize="0,0"/>
                <v:stroke color="#000000" joinstyle="round"/>
                <v:imagedata o:title=""/>
                <o:lock v:ext="edit" aspectratio="f"/>
              </v:shape>
            </w:pict>
          </mc:Fallback>
        </mc:AlternateContent>
      </w:r>
    </w:p>
    <w:p w14:paraId="710CF1AD">
      <w:pPr>
        <w:pStyle w:val="146"/>
        <w:spacing w:before="156" w:after="156" w:line="400" w:lineRule="atLeast"/>
        <w:ind w:firstLine="0" w:firstLineChars="0"/>
        <w:contextualSpacing/>
        <w:jc w:val="center"/>
        <w:rPr>
          <w:rFonts w:eastAsia="黑体"/>
          <w:sz w:val="32"/>
          <w:szCs w:val="32"/>
        </w:rPr>
      </w:pPr>
    </w:p>
    <w:p w14:paraId="26F9A305">
      <w:pPr>
        <w:pStyle w:val="146"/>
        <w:spacing w:before="156" w:after="156" w:line="400" w:lineRule="atLeast"/>
        <w:ind w:firstLine="0" w:firstLineChars="0"/>
        <w:contextualSpacing/>
        <w:jc w:val="center"/>
        <w:rPr>
          <w:rFonts w:eastAsia="黑体"/>
          <w:sz w:val="32"/>
          <w:szCs w:val="32"/>
        </w:rPr>
      </w:pPr>
    </w:p>
    <w:p w14:paraId="11127478">
      <w:pPr>
        <w:pStyle w:val="146"/>
        <w:spacing w:before="156" w:after="156" w:line="400" w:lineRule="atLeast"/>
        <w:ind w:firstLine="0" w:firstLineChars="0"/>
        <w:contextualSpacing/>
        <w:jc w:val="center"/>
        <w:rPr>
          <w:rFonts w:eastAsia="黑体"/>
          <w:sz w:val="32"/>
          <w:szCs w:val="32"/>
        </w:rPr>
      </w:pPr>
    </w:p>
    <w:p w14:paraId="4405FD62">
      <w:pPr>
        <w:pStyle w:val="146"/>
        <w:spacing w:before="156" w:after="156" w:line="400" w:lineRule="atLeast"/>
        <w:ind w:firstLine="0" w:firstLineChars="0"/>
        <w:contextualSpacing/>
        <w:jc w:val="center"/>
        <w:rPr>
          <w:rFonts w:eastAsia="黑体"/>
          <w:sz w:val="32"/>
          <w:szCs w:val="32"/>
        </w:rPr>
      </w:pPr>
    </w:p>
    <w:p w14:paraId="47C9E74E">
      <w:pPr>
        <w:pStyle w:val="146"/>
        <w:spacing w:before="156" w:after="156" w:line="400" w:lineRule="atLeast"/>
        <w:ind w:firstLine="0" w:firstLineChars="0"/>
        <w:contextualSpacing/>
        <w:jc w:val="center"/>
        <w:rPr>
          <w:rFonts w:eastAsia="黑体"/>
          <w:sz w:val="32"/>
          <w:szCs w:val="32"/>
        </w:rPr>
      </w:pPr>
    </w:p>
    <w:p w14:paraId="6654F144">
      <w:pPr>
        <w:pStyle w:val="146"/>
        <w:spacing w:before="156" w:after="156"/>
        <w:ind w:left="0" w:firstLine="0" w:firstLineChars="0"/>
        <w:contextualSpacing/>
        <w:jc w:val="center"/>
        <w:rPr>
          <w:rFonts w:eastAsia="黑体"/>
          <w:spacing w:val="-2"/>
          <w:sz w:val="52"/>
          <w:szCs w:val="52"/>
        </w:rPr>
      </w:pPr>
      <w:r>
        <w:rPr>
          <w:rFonts w:hint="eastAsia" w:eastAsia="黑体"/>
          <w:spacing w:val="-2"/>
          <w:sz w:val="52"/>
          <w:szCs w:val="52"/>
        </w:rPr>
        <w:t>南方地区</w:t>
      </w:r>
    </w:p>
    <w:p w14:paraId="7B0B5271">
      <w:pPr>
        <w:pStyle w:val="146"/>
        <w:spacing w:before="156" w:after="156"/>
        <w:ind w:left="0" w:firstLine="0" w:firstLineChars="0"/>
        <w:contextualSpacing/>
        <w:jc w:val="center"/>
        <w:rPr>
          <w:rFonts w:eastAsia="黑体"/>
          <w:spacing w:val="-12"/>
          <w:sz w:val="52"/>
          <w:szCs w:val="52"/>
        </w:rPr>
      </w:pPr>
      <w:r>
        <w:rPr>
          <w:rFonts w:eastAsia="黑体"/>
          <w:spacing w:val="-12"/>
          <w:sz w:val="52"/>
          <w:szCs w:val="52"/>
        </w:rPr>
        <w:t>绿色食品</w:t>
      </w:r>
      <w:r>
        <w:rPr>
          <w:rFonts w:hint="eastAsia" w:eastAsia="黑体"/>
          <w:spacing w:val="-12"/>
          <w:sz w:val="52"/>
          <w:szCs w:val="52"/>
        </w:rPr>
        <w:t>露地丝瓜</w:t>
      </w:r>
      <w:r>
        <w:rPr>
          <w:rFonts w:eastAsia="黑体"/>
          <w:spacing w:val="-12"/>
          <w:sz w:val="52"/>
          <w:szCs w:val="52"/>
        </w:rPr>
        <w:t>生产操作规程</w:t>
      </w:r>
    </w:p>
    <w:p w14:paraId="132D3644">
      <w:pPr>
        <w:pStyle w:val="146"/>
        <w:spacing w:before="156" w:after="156"/>
        <w:ind w:firstLine="0" w:firstLineChars="0"/>
        <w:contextualSpacing/>
        <w:jc w:val="center"/>
        <w:rPr>
          <w:rFonts w:eastAsia="黑体"/>
          <w:spacing w:val="-12"/>
          <w:sz w:val="52"/>
          <w:szCs w:val="52"/>
        </w:rPr>
      </w:pPr>
    </w:p>
    <w:p w14:paraId="5E1A2E0F">
      <w:pPr>
        <w:pStyle w:val="146"/>
        <w:spacing w:before="156" w:after="156"/>
        <w:ind w:firstLine="0" w:firstLineChars="0"/>
        <w:contextualSpacing/>
        <w:jc w:val="center"/>
        <w:rPr>
          <w:rFonts w:eastAsia="黑体"/>
          <w:spacing w:val="-12"/>
          <w:sz w:val="52"/>
          <w:szCs w:val="52"/>
        </w:rPr>
      </w:pPr>
    </w:p>
    <w:p w14:paraId="0612270F">
      <w:pPr>
        <w:pStyle w:val="146"/>
        <w:spacing w:before="156" w:after="156" w:line="400" w:lineRule="atLeast"/>
        <w:ind w:firstLine="0" w:firstLineChars="0"/>
        <w:contextualSpacing/>
        <w:jc w:val="center"/>
        <w:rPr>
          <w:rFonts w:eastAsia="黑体"/>
          <w:sz w:val="32"/>
          <w:szCs w:val="32"/>
        </w:rPr>
      </w:pPr>
    </w:p>
    <w:p w14:paraId="69F5B378">
      <w:pPr>
        <w:pStyle w:val="146"/>
        <w:spacing w:before="156" w:after="156" w:line="400" w:lineRule="atLeast"/>
        <w:ind w:firstLine="0" w:firstLineChars="0"/>
        <w:contextualSpacing/>
        <w:jc w:val="center"/>
        <w:rPr>
          <w:rFonts w:eastAsia="黑体"/>
          <w:sz w:val="32"/>
          <w:szCs w:val="32"/>
        </w:rPr>
      </w:pPr>
    </w:p>
    <w:p w14:paraId="30653DDF">
      <w:pPr>
        <w:pStyle w:val="146"/>
        <w:spacing w:before="156" w:after="156" w:line="400" w:lineRule="atLeast"/>
        <w:ind w:firstLine="0" w:firstLineChars="0"/>
        <w:contextualSpacing/>
        <w:jc w:val="center"/>
        <w:rPr>
          <w:rFonts w:eastAsia="黑体"/>
          <w:sz w:val="32"/>
          <w:szCs w:val="32"/>
        </w:rPr>
      </w:pPr>
      <w:bookmarkStart w:id="80" w:name="_GoBack"/>
      <w:bookmarkEnd w:id="80"/>
    </w:p>
    <w:p w14:paraId="47836E1F">
      <w:pPr>
        <w:pStyle w:val="146"/>
        <w:spacing w:before="156" w:after="156" w:line="400" w:lineRule="atLeast"/>
        <w:ind w:firstLine="0" w:firstLineChars="0"/>
        <w:contextualSpacing/>
        <w:jc w:val="center"/>
        <w:rPr>
          <w:rFonts w:eastAsia="黑体"/>
          <w:sz w:val="32"/>
          <w:szCs w:val="32"/>
        </w:rPr>
      </w:pPr>
    </w:p>
    <w:p w14:paraId="5C55BF5A">
      <w:pPr>
        <w:pStyle w:val="146"/>
        <w:spacing w:before="156" w:after="156" w:line="400" w:lineRule="atLeast"/>
        <w:ind w:firstLine="0" w:firstLineChars="0"/>
        <w:contextualSpacing/>
        <w:jc w:val="center"/>
        <w:rPr>
          <w:rFonts w:eastAsia="黑体"/>
          <w:sz w:val="32"/>
          <w:szCs w:val="32"/>
        </w:rPr>
      </w:pPr>
    </w:p>
    <w:p w14:paraId="4C51F981">
      <w:pPr>
        <w:pStyle w:val="146"/>
        <w:spacing w:before="156" w:after="156" w:line="400" w:lineRule="atLeast"/>
        <w:ind w:firstLine="0" w:firstLineChars="0"/>
        <w:contextualSpacing/>
        <w:jc w:val="center"/>
        <w:rPr>
          <w:rFonts w:eastAsia="黑体"/>
          <w:sz w:val="32"/>
          <w:szCs w:val="32"/>
        </w:rPr>
      </w:pPr>
    </w:p>
    <w:p w14:paraId="6EF4720C">
      <w:pPr>
        <w:pStyle w:val="146"/>
        <w:spacing w:before="156" w:after="156" w:line="400" w:lineRule="atLeast"/>
        <w:ind w:firstLine="0" w:firstLineChars="0"/>
        <w:contextualSpacing/>
        <w:jc w:val="left"/>
        <w:rPr>
          <w:rFonts w:eastAsia="黑体"/>
          <w:sz w:val="28"/>
          <w:szCs w:val="28"/>
        </w:rPr>
      </w:pPr>
      <w:r>
        <w:rPr>
          <w:rFonts w:hint="eastAsia" w:ascii="黑体" w:hAnsi="黑体" w:eastAsia="黑体" w:cs="黑体"/>
          <w:sz w:val="28"/>
          <w:szCs w:val="28"/>
        </w:rPr>
        <w:t>2025-</w:t>
      </w:r>
      <w:r>
        <w:rPr>
          <w:rFonts w:hint="eastAsia" w:ascii="黑体" w:hAnsi="黑体" w:eastAsia="黑体" w:cs="黑体"/>
          <w:sz w:val="28"/>
          <w:szCs w:val="28"/>
          <w:lang w:val="en-US" w:eastAsia="zh-CN"/>
        </w:rPr>
        <w:t>04</w:t>
      </w:r>
      <w:r>
        <w:rPr>
          <w:rFonts w:hint="eastAsia" w:ascii="黑体" w:hAnsi="黑体" w:eastAsia="黑体" w:cs="黑体"/>
          <w:sz w:val="28"/>
          <w:szCs w:val="28"/>
        </w:rPr>
        <w:t>-</w:t>
      </w:r>
      <w:r>
        <w:rPr>
          <w:rFonts w:hint="eastAsia" w:ascii="黑体" w:hAnsi="黑体" w:eastAsia="黑体" w:cs="黑体"/>
          <w:sz w:val="28"/>
          <w:szCs w:val="28"/>
          <w:lang w:val="en-US" w:eastAsia="zh-CN"/>
        </w:rPr>
        <w:t>01</w:t>
      </w:r>
      <w:r>
        <w:rPr>
          <w:rFonts w:hint="eastAsia" w:ascii="黑体" w:hAnsi="黑体" w:eastAsia="黑体" w:cs="黑体"/>
          <w:sz w:val="28"/>
          <w:szCs w:val="28"/>
        </w:rPr>
        <w:t>发布</w:t>
      </w:r>
      <w:r>
        <w:rPr>
          <w:rFonts w:eastAsia="黑体"/>
          <w:sz w:val="28"/>
          <w:szCs w:val="28"/>
        </w:rPr>
        <w:t xml:space="preserve">      </w:t>
      </w:r>
      <w:r>
        <w:rPr>
          <w:rFonts w:hint="eastAsia" w:eastAsia="黑体"/>
          <w:sz w:val="28"/>
          <w:szCs w:val="28"/>
          <w:lang w:val="en-US" w:eastAsia="zh-CN"/>
        </w:rPr>
        <w:t xml:space="preserve">       </w:t>
      </w:r>
      <w:r>
        <w:rPr>
          <w:rFonts w:eastAsia="黑体"/>
          <w:sz w:val="28"/>
          <w:szCs w:val="28"/>
        </w:rPr>
        <w:t xml:space="preserve">     </w:t>
      </w:r>
      <w:r>
        <w:rPr>
          <w:rFonts w:hint="eastAsia" w:eastAsia="黑体"/>
          <w:sz w:val="28"/>
          <w:szCs w:val="28"/>
        </w:rPr>
        <w:t xml:space="preserve">       </w:t>
      </w:r>
      <w:r>
        <w:rPr>
          <w:rFonts w:hint="eastAsia" w:ascii="黑体" w:hAnsi="黑体" w:eastAsia="黑体" w:cs="黑体"/>
          <w:sz w:val="28"/>
          <w:szCs w:val="28"/>
        </w:rPr>
        <w:t>2025-</w:t>
      </w:r>
      <w:r>
        <w:rPr>
          <w:rFonts w:hint="eastAsia" w:ascii="黑体" w:hAnsi="黑体" w:eastAsia="黑体" w:cs="黑体"/>
          <w:sz w:val="28"/>
          <w:szCs w:val="28"/>
          <w:lang w:val="en-US" w:eastAsia="zh-CN"/>
        </w:rPr>
        <w:t>04</w:t>
      </w:r>
      <w:r>
        <w:rPr>
          <w:rFonts w:hint="eastAsia" w:ascii="黑体" w:hAnsi="黑体" w:eastAsia="黑体" w:cs="黑体"/>
          <w:sz w:val="28"/>
          <w:szCs w:val="28"/>
        </w:rPr>
        <w:t>-</w:t>
      </w:r>
      <w:r>
        <w:rPr>
          <w:rFonts w:hint="eastAsia" w:ascii="黑体" w:hAnsi="黑体" w:eastAsia="黑体" w:cs="黑体"/>
          <w:sz w:val="28"/>
          <w:szCs w:val="28"/>
          <w:lang w:val="en-US" w:eastAsia="zh-CN"/>
        </w:rPr>
        <w:t>01</w:t>
      </w:r>
      <w:r>
        <w:rPr>
          <w:rFonts w:hint="eastAsia" w:ascii="黑体" w:hAnsi="黑体" w:eastAsia="黑体" w:cs="黑体"/>
          <w:sz w:val="28"/>
          <w:szCs w:val="28"/>
        </w:rPr>
        <w:t>实施</w:t>
      </w:r>
    </w:p>
    <w:p w14:paraId="48CF0C70">
      <w:pPr>
        <w:pStyle w:val="146"/>
        <w:spacing w:before="156" w:after="156" w:line="400" w:lineRule="atLeast"/>
        <w:ind w:firstLine="0" w:firstLineChars="0"/>
        <w:contextualSpacing/>
        <w:jc w:val="left"/>
        <w:rPr>
          <w:rFonts w:eastAsia="黑体"/>
          <w:sz w:val="24"/>
          <w:szCs w:val="24"/>
        </w:rPr>
      </w:pPr>
      <w:r>
        <w:rPr>
          <w:rFonts w:eastAsia="黑体"/>
          <w:sz w:val="24"/>
          <w:szCs w:val="24"/>
        </w:rPr>
        <mc:AlternateContent>
          <mc:Choice Requires="wps">
            <w:drawing>
              <wp:anchor distT="0" distB="0" distL="114300" distR="114300" simplePos="0" relativeHeight="251660288" behindDoc="0" locked="0" layoutInCell="1" allowOverlap="1">
                <wp:simplePos x="0" y="0"/>
                <wp:positionH relativeFrom="column">
                  <wp:posOffset>205740</wp:posOffset>
                </wp:positionH>
                <wp:positionV relativeFrom="paragraph">
                  <wp:posOffset>114300</wp:posOffset>
                </wp:positionV>
                <wp:extent cx="4853940" cy="15240"/>
                <wp:effectExtent l="0" t="4445" r="3810" b="8890"/>
                <wp:wrapNone/>
                <wp:docPr id="16" name="自选图形 2"/>
                <wp:cNvGraphicFramePr/>
                <a:graphic xmlns:a="http://schemas.openxmlformats.org/drawingml/2006/main">
                  <a:graphicData uri="http://schemas.microsoft.com/office/word/2010/wordprocessingShape">
                    <wps:wsp>
                      <wps:cNvCnPr/>
                      <wps:spPr>
                        <a:xfrm>
                          <a:off x="0" y="0"/>
                          <a:ext cx="4853940" cy="15240"/>
                        </a:xfrm>
                        <a:prstGeom prst="straightConnector1">
                          <a:avLst/>
                        </a:prstGeom>
                        <a:ln w="9525" cap="flat" cmpd="sng">
                          <a:solidFill>
                            <a:srgbClr val="000000"/>
                          </a:solidFill>
                          <a:prstDash val="solid"/>
                          <a:headEnd type="none" w="med" len="med"/>
                          <a:tailEnd type="none" w="med" len="med"/>
                        </a:ln>
                        <a:effectLst/>
                      </wps:spPr>
                      <wps:bodyPr/>
                    </wps:wsp>
                  </a:graphicData>
                </a:graphic>
              </wp:anchor>
            </w:drawing>
          </mc:Choice>
          <mc:Fallback>
            <w:pict>
              <v:shape id="自选图形 2" o:spid="_x0000_s1026" o:spt="32" type="#_x0000_t32" style="position:absolute;left:0pt;margin-left:16.2pt;margin-top:9pt;height:1.2pt;width:382.2pt;z-index:251660288;mso-width-relative:page;mso-height-relative:page;" filled="f" stroked="t" coordsize="21600,21600" o:gfxdata="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BGotpHXAAAACAEAAA8AAAAAAAAAAQAgAAAAIgAAAGRycy9kb3ducmV2&#10;LnhtbFBLAQIUABQAAAAIAIdO4kCwLqpT/QEAAPYDAAAOAAAAAAAAAAEAIAAAACYBAABkcnMvZTJv&#10;RG9jLnhtbFBLBQYAAAAABgAGAFkBAACVBQAAAAA=&#10;">
                <v:fill on="f" focussize="0,0"/>
                <v:stroke color="#000000" joinstyle="round"/>
                <v:imagedata o:title=""/>
                <o:lock v:ext="edit" aspectratio="f"/>
              </v:shape>
            </w:pict>
          </mc:Fallback>
        </mc:AlternateContent>
      </w:r>
    </w:p>
    <w:p w14:paraId="4D8D242D">
      <w:pPr>
        <w:pStyle w:val="146"/>
        <w:spacing w:before="156" w:after="156" w:line="400" w:lineRule="atLeast"/>
        <w:ind w:firstLine="0" w:firstLineChars="0"/>
        <w:contextualSpacing/>
        <w:jc w:val="center"/>
        <w:rPr>
          <w:rFonts w:eastAsia="黑体"/>
          <w:sz w:val="28"/>
          <w:szCs w:val="28"/>
        </w:rPr>
      </w:pPr>
      <w:r>
        <w:rPr>
          <w:rFonts w:eastAsia="华文中宋"/>
          <w:spacing w:val="71"/>
          <w:kern w:val="0"/>
          <w:sz w:val="32"/>
          <w:szCs w:val="32"/>
          <w:fitText w:val="4480" w:id="1247029460"/>
        </w:rPr>
        <w:t>中国绿色食品发展中</w:t>
      </w:r>
      <w:r>
        <w:rPr>
          <w:rFonts w:eastAsia="华文中宋"/>
          <w:spacing w:val="1"/>
          <w:kern w:val="0"/>
          <w:sz w:val="32"/>
          <w:szCs w:val="32"/>
          <w:fitText w:val="4480" w:id="1247029460"/>
        </w:rPr>
        <w:t>心</w:t>
      </w:r>
      <w:r>
        <w:rPr>
          <w:rFonts w:eastAsia="华文中宋"/>
          <w:kern w:val="0"/>
          <w:sz w:val="32"/>
          <w:szCs w:val="32"/>
        </w:rPr>
        <w:t xml:space="preserve">  </w:t>
      </w:r>
      <w:r>
        <w:rPr>
          <w:rFonts w:eastAsia="黑体"/>
          <w:sz w:val="28"/>
          <w:szCs w:val="28"/>
        </w:rPr>
        <w:t>发 布</w:t>
      </w:r>
    </w:p>
    <w:p w14:paraId="61A0D5BA">
      <w:pPr>
        <w:autoSpaceDE w:val="0"/>
        <w:autoSpaceDN w:val="0"/>
        <w:adjustRightInd w:val="0"/>
        <w:ind w:left="955" w:leftChars="455"/>
        <w:jc w:val="center"/>
        <w:rPr>
          <w:rFonts w:eastAsia="黑体"/>
          <w:kern w:val="0"/>
          <w:sz w:val="32"/>
          <w:szCs w:val="20"/>
        </w:rPr>
        <w:sectPr>
          <w:headerReference r:id="rId5" w:type="first"/>
          <w:headerReference r:id="rId3" w:type="default"/>
          <w:headerReference r:id="rId4" w:type="even"/>
          <w:pgSz w:w="11906" w:h="16838"/>
          <w:pgMar w:top="1440" w:right="1800" w:bottom="1440" w:left="1800" w:header="851" w:footer="992" w:gutter="0"/>
          <w:cols w:space="425" w:num="1"/>
          <w:docGrid w:type="lines" w:linePitch="312" w:charSpace="0"/>
        </w:sectPr>
      </w:pPr>
    </w:p>
    <w:p w14:paraId="602E2CE0">
      <w:pPr>
        <w:autoSpaceDE w:val="0"/>
        <w:autoSpaceDN w:val="0"/>
        <w:adjustRightInd w:val="0"/>
        <w:jc w:val="center"/>
        <w:rPr>
          <w:rFonts w:eastAsia="黑体"/>
          <w:kern w:val="0"/>
          <w:sz w:val="32"/>
          <w:szCs w:val="20"/>
        </w:rPr>
      </w:pPr>
    </w:p>
    <w:p w14:paraId="05CE76C6">
      <w:pPr>
        <w:autoSpaceDE w:val="0"/>
        <w:autoSpaceDN w:val="0"/>
        <w:adjustRightInd w:val="0"/>
        <w:jc w:val="center"/>
        <w:rPr>
          <w:rFonts w:eastAsia="黑体"/>
          <w:kern w:val="0"/>
          <w:sz w:val="32"/>
          <w:szCs w:val="20"/>
        </w:rPr>
      </w:pPr>
      <w:r>
        <w:rPr>
          <w:rFonts w:eastAsia="黑体"/>
          <w:kern w:val="0"/>
          <w:sz w:val="32"/>
          <w:szCs w:val="20"/>
        </w:rPr>
        <w:t>前    言</w:t>
      </w:r>
    </w:p>
    <w:p w14:paraId="3CCB4C3B">
      <w:pPr>
        <w:autoSpaceDE w:val="0"/>
        <w:autoSpaceDN w:val="0"/>
        <w:adjustRightInd w:val="0"/>
        <w:jc w:val="center"/>
        <w:rPr>
          <w:rFonts w:eastAsia="黑体"/>
          <w:kern w:val="0"/>
          <w:sz w:val="32"/>
          <w:szCs w:val="20"/>
        </w:rPr>
      </w:pPr>
    </w:p>
    <w:p w14:paraId="5BE22337">
      <w:pPr>
        <w:autoSpaceDE w:val="0"/>
        <w:autoSpaceDN w:val="0"/>
        <w:adjustRightInd w:val="0"/>
        <w:spacing w:line="360" w:lineRule="auto"/>
        <w:ind w:firstLine="420" w:firstLineChars="200"/>
        <w:rPr>
          <w:rFonts w:ascii="宋体" w:hAnsi="宋体" w:cs="宋体"/>
          <w:kern w:val="0"/>
          <w:szCs w:val="21"/>
        </w:rPr>
      </w:pPr>
      <w:r>
        <w:rPr>
          <w:rFonts w:hint="eastAsia" w:ascii="宋体" w:hAnsi="宋体" w:cs="宋体"/>
          <w:kern w:val="0"/>
          <w:szCs w:val="21"/>
          <w:lang w:val="zh-CN"/>
        </w:rPr>
        <w:t>本规程由中国绿色食品发展中心提出并归口。</w:t>
      </w:r>
    </w:p>
    <w:p w14:paraId="284C0A82">
      <w:pPr>
        <w:autoSpaceDE w:val="0"/>
        <w:autoSpaceDN w:val="0"/>
        <w:adjustRightInd w:val="0"/>
        <w:spacing w:line="360" w:lineRule="auto"/>
        <w:ind w:firstLine="404" w:firstLineChars="200"/>
        <w:rPr>
          <w:rFonts w:ascii="宋体" w:hAnsi="宋体" w:cs="宋体"/>
          <w:spacing w:val="-4"/>
          <w:kern w:val="0"/>
          <w:szCs w:val="21"/>
          <w:lang w:val="zh-CN"/>
        </w:rPr>
      </w:pPr>
      <w:r>
        <w:rPr>
          <w:rFonts w:hint="eastAsia" w:ascii="宋体" w:hAnsi="宋体" w:cs="宋体"/>
          <w:spacing w:val="-4"/>
          <w:kern w:val="0"/>
          <w:szCs w:val="21"/>
          <w:lang w:val="zh-CN"/>
        </w:rPr>
        <w:t>本规程起草单位：江</w:t>
      </w:r>
      <w:r>
        <w:rPr>
          <w:rFonts w:hint="eastAsia" w:ascii="宋体" w:hAnsi="宋体" w:cs="宋体"/>
          <w:spacing w:val="-4"/>
          <w:kern w:val="0"/>
          <w:szCs w:val="21"/>
        </w:rPr>
        <w:t>苏</w:t>
      </w:r>
      <w:r>
        <w:rPr>
          <w:rFonts w:hint="eastAsia" w:ascii="宋体" w:hAnsi="宋体" w:cs="宋体"/>
          <w:spacing w:val="-4"/>
          <w:kern w:val="0"/>
          <w:szCs w:val="21"/>
          <w:lang w:val="zh-CN"/>
        </w:rPr>
        <w:t>省绿色食品</w:t>
      </w:r>
      <w:r>
        <w:rPr>
          <w:rFonts w:hint="eastAsia" w:ascii="宋体" w:hAnsi="宋体" w:cs="宋体"/>
          <w:spacing w:val="-4"/>
          <w:kern w:val="0"/>
          <w:szCs w:val="21"/>
        </w:rPr>
        <w:t>办公室</w:t>
      </w:r>
      <w:r>
        <w:rPr>
          <w:rFonts w:hint="eastAsia" w:ascii="宋体" w:hAnsi="宋体" w:cs="宋体"/>
          <w:kern w:val="0"/>
          <w:szCs w:val="21"/>
          <w:lang w:val="zh-CN"/>
        </w:rPr>
        <w:t>、</w:t>
      </w:r>
      <w:r>
        <w:rPr>
          <w:rFonts w:hint="eastAsia" w:ascii="宋体" w:hAnsi="宋体" w:cs="宋体"/>
          <w:spacing w:val="-4"/>
          <w:kern w:val="0"/>
          <w:szCs w:val="21"/>
        </w:rPr>
        <w:t>南京市蔬菜科学研究所、南京市农产品质量检测院、重庆市农产品质量安全中心</w:t>
      </w:r>
      <w:r>
        <w:rPr>
          <w:rFonts w:hint="eastAsia" w:ascii="宋体" w:hAnsi="宋体" w:cs="宋体"/>
          <w:kern w:val="0"/>
          <w:szCs w:val="21"/>
          <w:lang w:val="zh-CN"/>
        </w:rPr>
        <w:t>、武汉市新洲区农业技术服务推广中心、</w:t>
      </w:r>
      <w:r>
        <w:rPr>
          <w:rFonts w:hint="eastAsia" w:ascii="宋体" w:hAnsi="宋体" w:cs="宋体"/>
          <w:kern w:val="0"/>
          <w:szCs w:val="21"/>
        </w:rPr>
        <w:t>湘阴县农业农村局、浏阳市农业农村局绿色食品办公室、</w:t>
      </w:r>
      <w:r>
        <w:rPr>
          <w:rFonts w:hint="eastAsia" w:ascii="宋体" w:hAnsi="宋体" w:cs="宋体"/>
          <w:spacing w:val="-4"/>
          <w:kern w:val="0"/>
          <w:szCs w:val="21"/>
        </w:rPr>
        <w:t>南通市通州区农业农村局、</w:t>
      </w:r>
      <w:r>
        <w:rPr>
          <w:rFonts w:hint="eastAsia" w:ascii="宋体" w:hAnsi="宋体" w:cs="宋体"/>
          <w:kern w:val="0"/>
          <w:szCs w:val="21"/>
        </w:rPr>
        <w:t>六安市农产品质量安全监测中心、</w:t>
      </w:r>
      <w:r>
        <w:rPr>
          <w:rFonts w:hint="eastAsia" w:ascii="宋体" w:hAnsi="宋体" w:cs="宋体"/>
          <w:spacing w:val="-4"/>
          <w:kern w:val="0"/>
          <w:szCs w:val="21"/>
        </w:rPr>
        <w:t>四川省绿色食品发展中心、</w:t>
      </w:r>
      <w:r>
        <w:rPr>
          <w:rFonts w:hint="eastAsia" w:ascii="宋体" w:hAnsi="宋体" w:cs="宋体"/>
          <w:kern w:val="0"/>
          <w:szCs w:val="21"/>
          <w:lang w:val="zh-CN"/>
        </w:rPr>
        <w:t>中国绿色食品发展中心、</w:t>
      </w:r>
      <w:r>
        <w:rPr>
          <w:rFonts w:hint="eastAsia" w:ascii="宋体" w:hAnsi="宋体" w:cs="宋体"/>
          <w:spacing w:val="-4"/>
          <w:kern w:val="0"/>
          <w:szCs w:val="21"/>
        </w:rPr>
        <w:t>江苏省绿色食品协会。</w:t>
      </w:r>
    </w:p>
    <w:p w14:paraId="16AF0EDE">
      <w:pPr>
        <w:autoSpaceDE w:val="0"/>
        <w:autoSpaceDN w:val="0"/>
        <w:adjustRightInd w:val="0"/>
        <w:spacing w:before="7" w:line="360" w:lineRule="auto"/>
        <w:ind w:firstLine="404" w:firstLineChars="200"/>
        <w:rPr>
          <w:rFonts w:ascii="宋体" w:hAnsi="宋体" w:cs="宋体"/>
          <w:spacing w:val="-4"/>
          <w:kern w:val="0"/>
          <w:szCs w:val="21"/>
          <w:lang w:val="zh-CN"/>
        </w:rPr>
      </w:pPr>
      <w:r>
        <w:rPr>
          <w:rFonts w:hint="eastAsia" w:ascii="宋体" w:hAnsi="宋体" w:cs="宋体"/>
          <w:spacing w:val="-4"/>
          <w:kern w:val="0"/>
          <w:szCs w:val="21"/>
          <w:lang w:val="zh-CN"/>
        </w:rPr>
        <w:t>本规程主要起草人：</w:t>
      </w:r>
      <w:r>
        <w:rPr>
          <w:rFonts w:hint="eastAsia" w:ascii="宋体" w:hAnsi="宋体" w:cs="宋体"/>
          <w:spacing w:val="-4"/>
          <w:kern w:val="0"/>
          <w:szCs w:val="21"/>
        </w:rPr>
        <w:t>杭祥荣、尹德兴、冒维维、黄忠阳、张海彬、杨婧、任艳芳、徐秋雯、燕东峰、柳骞、</w:t>
      </w:r>
      <w:r>
        <w:rPr>
          <w:rFonts w:hint="eastAsia" w:ascii="宋体" w:hAnsi="宋体" w:cs="宋体"/>
          <w:kern w:val="0"/>
          <w:szCs w:val="21"/>
        </w:rPr>
        <w:t>代旭光、宋晓</w:t>
      </w:r>
      <w:r>
        <w:rPr>
          <w:rFonts w:ascii="宋体" w:hAnsi="宋体" w:cs="宋体"/>
          <w:kern w:val="0"/>
          <w:szCs w:val="21"/>
        </w:rPr>
        <w:t>、</w:t>
      </w:r>
      <w:r>
        <w:rPr>
          <w:rFonts w:hint="eastAsia" w:ascii="宋体" w:hAnsi="宋体" w:cs="宋体"/>
          <w:spacing w:val="-4"/>
          <w:kern w:val="0"/>
          <w:szCs w:val="21"/>
        </w:rPr>
        <w:t>刘贤文</w:t>
      </w:r>
      <w:r>
        <w:rPr>
          <w:rFonts w:hint="eastAsia" w:ascii="宋体" w:hAnsi="宋体" w:cs="宋体"/>
          <w:spacing w:val="-4"/>
          <w:kern w:val="0"/>
          <w:szCs w:val="21"/>
          <w:lang w:val="zh-CN"/>
        </w:rPr>
        <w:t>。</w:t>
      </w:r>
    </w:p>
    <w:p w14:paraId="5CE0C486">
      <w:pPr>
        <w:autoSpaceDE w:val="0"/>
        <w:autoSpaceDN w:val="0"/>
        <w:adjustRightInd w:val="0"/>
        <w:spacing w:before="7" w:line="360" w:lineRule="auto"/>
        <w:ind w:left="538" w:firstLine="420"/>
        <w:rPr>
          <w:rFonts w:ascii="宋体" w:hAnsi="宋体" w:cs="宋体"/>
          <w:spacing w:val="-4"/>
          <w:kern w:val="0"/>
          <w:szCs w:val="21"/>
          <w:lang w:val="zh-CN"/>
        </w:rPr>
      </w:pPr>
    </w:p>
    <w:p w14:paraId="3BE6B857">
      <w:pPr>
        <w:pStyle w:val="45"/>
        <w:spacing w:line="360" w:lineRule="auto"/>
        <w:ind w:firstLine="404"/>
        <w:rPr>
          <w:rFonts w:ascii="Times New Roman" w:hAnsi="Times New Roman" w:eastAsia="宋体" w:cs="Times New Roman"/>
          <w:spacing w:val="-4"/>
          <w:kern w:val="0"/>
          <w:szCs w:val="21"/>
          <w:lang w:val="zh-CN"/>
        </w:rPr>
      </w:pPr>
    </w:p>
    <w:p w14:paraId="1CF735E2">
      <w:pPr>
        <w:pStyle w:val="45"/>
        <w:ind w:firstLine="404"/>
        <w:rPr>
          <w:rFonts w:ascii="Times New Roman" w:hAnsi="Times New Roman" w:eastAsia="宋体" w:cs="Times New Roman"/>
          <w:spacing w:val="-4"/>
          <w:kern w:val="0"/>
          <w:szCs w:val="21"/>
          <w:lang w:val="zh-CN"/>
        </w:rPr>
        <w:sectPr>
          <w:headerReference r:id="rId8" w:type="first"/>
          <w:headerReference r:id="rId6" w:type="default"/>
          <w:footerReference r:id="rId9" w:type="default"/>
          <w:headerReference r:id="rId7" w:type="even"/>
          <w:pgSz w:w="11906" w:h="16838"/>
          <w:pgMar w:top="1418" w:right="1134" w:bottom="1134" w:left="1418" w:header="1418" w:footer="1134" w:gutter="0"/>
          <w:pgNumType w:start="1"/>
          <w:cols w:space="720" w:num="1"/>
          <w:formProt w:val="0"/>
          <w:docGrid w:type="lines" w:linePitch="312" w:charSpace="0"/>
        </w:sectPr>
      </w:pPr>
    </w:p>
    <w:p w14:paraId="36F22DA6">
      <w:pPr>
        <w:pStyle w:val="91"/>
        <w:numPr>
          <w:ilvl w:val="0"/>
          <w:numId w:val="0"/>
        </w:numPr>
        <w:spacing w:before="312" w:after="312"/>
        <w:jc w:val="center"/>
        <w:rPr>
          <w:rFonts w:ascii="Times New Roman"/>
          <w:sz w:val="32"/>
        </w:rPr>
      </w:pPr>
      <w:bookmarkStart w:id="0" w:name="_Toc493513223"/>
      <w:bookmarkStart w:id="1" w:name="_Toc493511997"/>
      <w:bookmarkStart w:id="2" w:name="_Toc493511136"/>
      <w:bookmarkStart w:id="3" w:name="_Toc493513102"/>
      <w:bookmarkStart w:id="4" w:name="_Toc493528141"/>
      <w:r>
        <w:rPr>
          <w:rFonts w:hint="eastAsia" w:ascii="Times New Roman"/>
          <w:sz w:val="32"/>
        </w:rPr>
        <w:t>南方地区</w:t>
      </w:r>
      <w:r>
        <w:rPr>
          <w:rFonts w:ascii="Times New Roman"/>
          <w:sz w:val="32"/>
        </w:rPr>
        <w:br w:type="textWrapping"/>
      </w:r>
      <w:r>
        <w:rPr>
          <w:rFonts w:ascii="Times New Roman"/>
          <w:sz w:val="32"/>
        </w:rPr>
        <w:t>绿色食品</w:t>
      </w:r>
      <w:r>
        <w:rPr>
          <w:rFonts w:hint="eastAsia" w:ascii="Times New Roman"/>
          <w:sz w:val="32"/>
        </w:rPr>
        <w:t>露地丝</w:t>
      </w:r>
      <w:r>
        <w:rPr>
          <w:rFonts w:ascii="Times New Roman"/>
          <w:sz w:val="32"/>
        </w:rPr>
        <w:t>瓜生产操作规程</w:t>
      </w:r>
    </w:p>
    <w:p w14:paraId="51E8111A">
      <w:pPr>
        <w:pStyle w:val="2"/>
      </w:pPr>
      <w:r>
        <w:rPr>
          <w:rFonts w:hint="eastAsia"/>
        </w:rPr>
        <w:t>1 范围</w:t>
      </w:r>
      <w:bookmarkEnd w:id="0"/>
      <w:bookmarkEnd w:id="1"/>
      <w:bookmarkEnd w:id="2"/>
      <w:bookmarkEnd w:id="3"/>
      <w:bookmarkEnd w:id="4"/>
    </w:p>
    <w:p w14:paraId="00F2BC5E">
      <w:pPr>
        <w:pStyle w:val="146"/>
        <w:spacing w:before="156" w:after="156" w:line="400" w:lineRule="atLeast"/>
        <w:ind w:left="0"/>
        <w:contextualSpacing/>
        <w:rPr>
          <w:rFonts w:asciiTheme="minorEastAsia" w:hAnsiTheme="minorEastAsia" w:eastAsiaTheme="minorEastAsia" w:cstheme="minorEastAsia"/>
        </w:rPr>
      </w:pPr>
      <w:r>
        <w:rPr>
          <w:rFonts w:hint="eastAsia" w:asciiTheme="minorEastAsia" w:hAnsiTheme="minorEastAsia" w:eastAsiaTheme="minorEastAsia" w:cstheme="minorEastAsia"/>
          <w:lang w:val="zh-CN"/>
        </w:rPr>
        <w:t>本规程规定了</w:t>
      </w:r>
      <w:r>
        <w:rPr>
          <w:rFonts w:hint="eastAsia" w:asciiTheme="minorEastAsia" w:hAnsiTheme="minorEastAsia" w:eastAsiaTheme="minorEastAsia" w:cstheme="minorEastAsia"/>
        </w:rPr>
        <w:t>南方地区</w:t>
      </w:r>
      <w:r>
        <w:rPr>
          <w:rFonts w:hint="eastAsia" w:asciiTheme="minorEastAsia" w:hAnsiTheme="minorEastAsia" w:eastAsiaTheme="minorEastAsia" w:cstheme="minorEastAsia"/>
          <w:lang w:val="zh-CN"/>
        </w:rPr>
        <w:t>绿色食品</w:t>
      </w:r>
      <w:r>
        <w:rPr>
          <w:rFonts w:hint="eastAsia" w:asciiTheme="minorEastAsia" w:hAnsiTheme="minorEastAsia" w:eastAsiaTheme="minorEastAsia" w:cstheme="minorEastAsia"/>
        </w:rPr>
        <w:t>露地丝瓜生产</w:t>
      </w:r>
      <w:r>
        <w:rPr>
          <w:rFonts w:hint="eastAsia" w:asciiTheme="minorEastAsia" w:hAnsiTheme="minorEastAsia" w:eastAsiaTheme="minorEastAsia" w:cstheme="minorEastAsia"/>
          <w:lang w:val="zh-CN"/>
        </w:rPr>
        <w:t>的产地环境、</w:t>
      </w:r>
      <w:r>
        <w:rPr>
          <w:rFonts w:hint="eastAsia" w:asciiTheme="minorEastAsia" w:hAnsiTheme="minorEastAsia" w:eastAsiaTheme="minorEastAsia" w:cstheme="minorEastAsia"/>
        </w:rPr>
        <w:t>栽培季节、</w:t>
      </w:r>
      <w:r>
        <w:rPr>
          <w:rFonts w:hint="eastAsia" w:asciiTheme="minorEastAsia" w:hAnsiTheme="minorEastAsia" w:eastAsiaTheme="minorEastAsia" w:cstheme="minorEastAsia"/>
          <w:lang w:val="zh-CN"/>
        </w:rPr>
        <w:t>品种选择、育苗、整地</w:t>
      </w:r>
      <w:r>
        <w:rPr>
          <w:rFonts w:hint="eastAsia" w:asciiTheme="minorEastAsia" w:hAnsiTheme="minorEastAsia" w:eastAsiaTheme="minorEastAsia" w:cstheme="minorEastAsia"/>
        </w:rPr>
        <w:t>起垄</w:t>
      </w:r>
      <w:r>
        <w:rPr>
          <w:rFonts w:hint="eastAsia" w:asciiTheme="minorEastAsia" w:hAnsiTheme="minorEastAsia" w:eastAsiaTheme="minorEastAsia" w:cstheme="minorEastAsia"/>
          <w:lang w:val="zh-CN"/>
        </w:rPr>
        <w:t>、定植、田间管理、</w:t>
      </w:r>
      <w:r>
        <w:rPr>
          <w:rFonts w:hint="eastAsia" w:asciiTheme="minorEastAsia" w:hAnsiTheme="minorEastAsia" w:eastAsiaTheme="minorEastAsia" w:cstheme="minorEastAsia"/>
        </w:rPr>
        <w:t>病虫害防治、</w:t>
      </w:r>
      <w:r>
        <w:rPr>
          <w:rFonts w:hint="eastAsia" w:asciiTheme="minorEastAsia" w:hAnsiTheme="minorEastAsia" w:eastAsiaTheme="minorEastAsia" w:cstheme="minorEastAsia"/>
          <w:lang w:val="zh-CN"/>
        </w:rPr>
        <w:t>采收与包装、</w:t>
      </w:r>
      <w:r>
        <w:rPr>
          <w:rFonts w:hint="eastAsia" w:asciiTheme="minorEastAsia" w:hAnsiTheme="minorEastAsia" w:eastAsiaTheme="minorEastAsia" w:cstheme="minorEastAsia"/>
        </w:rPr>
        <w:t>储</w:t>
      </w:r>
      <w:r>
        <w:rPr>
          <w:rFonts w:hint="eastAsia" w:asciiTheme="minorEastAsia" w:hAnsiTheme="minorEastAsia" w:eastAsiaTheme="minorEastAsia" w:cstheme="minorEastAsia"/>
          <w:lang w:val="zh-CN"/>
        </w:rPr>
        <w:t>藏</w:t>
      </w:r>
      <w:r>
        <w:rPr>
          <w:rFonts w:hint="eastAsia" w:asciiTheme="minorEastAsia" w:hAnsiTheme="minorEastAsia" w:eastAsiaTheme="minorEastAsia" w:cstheme="minorEastAsia"/>
        </w:rPr>
        <w:t>与</w:t>
      </w:r>
      <w:r>
        <w:rPr>
          <w:rFonts w:hint="eastAsia" w:asciiTheme="minorEastAsia" w:hAnsiTheme="minorEastAsia" w:eastAsiaTheme="minorEastAsia" w:cstheme="minorEastAsia"/>
          <w:lang w:val="zh-CN"/>
        </w:rPr>
        <w:t>运输、生产废弃物处理、生产</w:t>
      </w:r>
      <w:r>
        <w:rPr>
          <w:rFonts w:hint="eastAsia" w:asciiTheme="minorEastAsia" w:hAnsiTheme="minorEastAsia" w:eastAsiaTheme="minorEastAsia" w:cstheme="minorEastAsia"/>
        </w:rPr>
        <w:t>记录</w:t>
      </w:r>
      <w:r>
        <w:rPr>
          <w:rFonts w:hint="eastAsia" w:asciiTheme="minorEastAsia" w:hAnsiTheme="minorEastAsia" w:eastAsiaTheme="minorEastAsia" w:cstheme="minorEastAsia"/>
          <w:lang w:val="zh-CN"/>
        </w:rPr>
        <w:t>档案管理。</w:t>
      </w:r>
    </w:p>
    <w:p w14:paraId="7612E687">
      <w:pPr>
        <w:pStyle w:val="146"/>
        <w:spacing w:before="156" w:after="156" w:line="400" w:lineRule="atLeast"/>
        <w:ind w:left="0"/>
        <w:contextualSpacing/>
        <w:rPr>
          <w:rFonts w:asciiTheme="minorEastAsia" w:hAnsiTheme="minorEastAsia" w:eastAsiaTheme="minorEastAsia" w:cstheme="minorEastAsia"/>
        </w:rPr>
      </w:pPr>
      <w:r>
        <w:rPr>
          <w:rFonts w:hint="eastAsia" w:asciiTheme="minorEastAsia" w:hAnsiTheme="minorEastAsia" w:eastAsiaTheme="minorEastAsia" w:cstheme="minorEastAsia"/>
          <w:lang w:val="zh-CN"/>
        </w:rPr>
        <w:t>本规程适用于上海、</w:t>
      </w:r>
      <w:r>
        <w:rPr>
          <w:rFonts w:hint="eastAsia" w:asciiTheme="minorEastAsia" w:hAnsiTheme="minorEastAsia" w:eastAsiaTheme="minorEastAsia" w:cstheme="minorEastAsia"/>
        </w:rPr>
        <w:t>江苏南部</w:t>
      </w:r>
      <w:r>
        <w:rPr>
          <w:rFonts w:hint="eastAsia" w:asciiTheme="minorEastAsia" w:hAnsiTheme="minorEastAsia" w:eastAsiaTheme="minorEastAsia" w:cstheme="minorEastAsia"/>
          <w:lang w:val="zh-CN"/>
        </w:rPr>
        <w:t>、浙江、安徽</w:t>
      </w:r>
      <w:r>
        <w:rPr>
          <w:rFonts w:hint="eastAsia" w:asciiTheme="minorEastAsia" w:hAnsiTheme="minorEastAsia" w:eastAsiaTheme="minorEastAsia" w:cstheme="minorEastAsia"/>
        </w:rPr>
        <w:t>南部</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福建、</w:t>
      </w:r>
      <w:r>
        <w:rPr>
          <w:rFonts w:hint="eastAsia" w:asciiTheme="minorEastAsia" w:hAnsiTheme="minorEastAsia" w:eastAsiaTheme="minorEastAsia" w:cstheme="minorEastAsia"/>
          <w:lang w:val="zh-CN"/>
        </w:rPr>
        <w:t>江西</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lang w:val="zh-CN"/>
        </w:rPr>
        <w:t>湖北、湖南、</w:t>
      </w:r>
      <w:r>
        <w:rPr>
          <w:rFonts w:hint="eastAsia" w:asciiTheme="minorEastAsia" w:hAnsiTheme="minorEastAsia" w:eastAsiaTheme="minorEastAsia" w:cstheme="minorEastAsia"/>
        </w:rPr>
        <w:t>广东、广西、海南、</w:t>
      </w:r>
      <w:r>
        <w:rPr>
          <w:rFonts w:hint="eastAsia" w:asciiTheme="minorEastAsia" w:hAnsiTheme="minorEastAsia" w:eastAsiaTheme="minorEastAsia" w:cstheme="minorEastAsia"/>
          <w:lang w:val="zh-CN"/>
        </w:rPr>
        <w:t>重庆、四川、</w:t>
      </w:r>
      <w:r>
        <w:rPr>
          <w:rFonts w:hint="eastAsia" w:asciiTheme="minorEastAsia" w:hAnsiTheme="minorEastAsia" w:eastAsiaTheme="minorEastAsia" w:cstheme="minorEastAsia"/>
        </w:rPr>
        <w:t>贵州、云南</w:t>
      </w:r>
      <w:r>
        <w:rPr>
          <w:rFonts w:hint="eastAsia" w:asciiTheme="minorEastAsia" w:hAnsiTheme="minorEastAsia" w:eastAsiaTheme="minorEastAsia" w:cstheme="minorEastAsia"/>
          <w:lang w:val="zh-CN"/>
        </w:rPr>
        <w:t>的绿色食品</w:t>
      </w:r>
      <w:r>
        <w:rPr>
          <w:rFonts w:hint="eastAsia" w:asciiTheme="minorEastAsia" w:hAnsiTheme="minorEastAsia" w:eastAsiaTheme="minorEastAsia" w:cstheme="minorEastAsia"/>
        </w:rPr>
        <w:t>露地丝瓜</w:t>
      </w:r>
      <w:r>
        <w:rPr>
          <w:rFonts w:hint="eastAsia" w:asciiTheme="minorEastAsia" w:hAnsiTheme="minorEastAsia" w:eastAsiaTheme="minorEastAsia" w:cstheme="minorEastAsia"/>
          <w:lang w:val="zh-CN"/>
        </w:rPr>
        <w:t>生产。</w:t>
      </w:r>
    </w:p>
    <w:p w14:paraId="60B5A168">
      <w:pPr>
        <w:pStyle w:val="2"/>
      </w:pPr>
      <w:bookmarkStart w:id="5" w:name="_Toc493513103"/>
      <w:bookmarkStart w:id="6" w:name="_Toc493513224"/>
      <w:bookmarkStart w:id="7" w:name="_Toc493528142"/>
      <w:bookmarkStart w:id="8" w:name="_Toc493511137"/>
      <w:bookmarkStart w:id="9" w:name="_Toc493511998"/>
      <w:r>
        <w:rPr>
          <w:rFonts w:hint="eastAsia"/>
        </w:rPr>
        <w:t>2 规范性引用文件</w:t>
      </w:r>
      <w:bookmarkEnd w:id="5"/>
      <w:bookmarkEnd w:id="6"/>
      <w:bookmarkEnd w:id="7"/>
      <w:bookmarkEnd w:id="8"/>
      <w:bookmarkEnd w:id="9"/>
    </w:p>
    <w:p w14:paraId="790B0093">
      <w:pPr>
        <w:pStyle w:val="146"/>
        <w:spacing w:before="156" w:after="156" w:line="400" w:lineRule="atLeast"/>
        <w:ind w:left="0"/>
        <w:contextualSpacing/>
        <w:rPr>
          <w:rFonts w:asciiTheme="minorEastAsia" w:hAnsiTheme="minorEastAsia" w:eastAsiaTheme="minorEastAsia" w:cstheme="minorEastAsia"/>
        </w:rPr>
      </w:pPr>
      <w:r>
        <w:rPr>
          <w:rFonts w:hint="eastAsia"/>
        </w:rPr>
        <w:t>下列文件中的内容通过文中的规范性引用而构成本</w:t>
      </w:r>
      <w:r>
        <w:rPr>
          <w:rFonts w:hint="eastAsia" w:asciiTheme="minorEastAsia" w:hAnsiTheme="minorEastAsia" w:eastAsiaTheme="minorEastAsia" w:cstheme="minorEastAsia"/>
          <w:lang w:val="zh-CN"/>
        </w:rPr>
        <w:t>规程</w:t>
      </w:r>
      <w:r>
        <w:rPr>
          <w:rFonts w:hint="eastAsia"/>
        </w:rPr>
        <w:t>必不可少的条款。其中，注日期的引用文件，仅该日期对应的版本适用于本</w:t>
      </w:r>
      <w:r>
        <w:rPr>
          <w:rFonts w:hint="eastAsia" w:asciiTheme="minorEastAsia" w:hAnsiTheme="minorEastAsia" w:eastAsiaTheme="minorEastAsia" w:cstheme="minorEastAsia"/>
          <w:lang w:val="zh-CN"/>
        </w:rPr>
        <w:t>规程</w:t>
      </w:r>
      <w:r>
        <w:rPr>
          <w:rFonts w:hint="eastAsia"/>
        </w:rPr>
        <w:t>；不注日期的引用文件，其最新版本（包括所有的修改单）适用于本</w:t>
      </w:r>
      <w:r>
        <w:rPr>
          <w:rFonts w:hint="eastAsia" w:asciiTheme="minorEastAsia" w:hAnsiTheme="minorEastAsia" w:eastAsiaTheme="minorEastAsia" w:cstheme="minorEastAsia"/>
          <w:lang w:val="zh-CN"/>
        </w:rPr>
        <w:t>规程</w:t>
      </w:r>
      <w:r>
        <w:rPr>
          <w:rFonts w:hint="eastAsia"/>
        </w:rPr>
        <w:t>。</w:t>
      </w:r>
    </w:p>
    <w:p w14:paraId="2B90F75B">
      <w:pPr>
        <w:pStyle w:val="146"/>
        <w:spacing w:before="156" w:after="156" w:line="400" w:lineRule="atLeast"/>
        <w:ind w:left="0"/>
        <w:contextualSpacing/>
        <w:rPr>
          <w:rFonts w:asciiTheme="minorEastAsia" w:hAnsiTheme="minorEastAsia" w:eastAsiaTheme="minorEastAsia" w:cstheme="minorEastAsia"/>
          <w:lang w:val="zh-CN"/>
        </w:rPr>
      </w:pPr>
      <w:r>
        <w:rPr>
          <w:rFonts w:hint="eastAsia" w:asciiTheme="minorEastAsia" w:hAnsiTheme="minorEastAsia" w:eastAsiaTheme="minorEastAsia" w:cstheme="minorEastAsia"/>
          <w:lang w:val="zh-CN"/>
        </w:rPr>
        <w:t>GB 16715.1  瓜菜作物种子 第1部分：瓜类</w:t>
      </w:r>
    </w:p>
    <w:p w14:paraId="5AAB9872">
      <w:pPr>
        <w:pStyle w:val="146"/>
        <w:spacing w:before="156" w:after="156" w:line="400" w:lineRule="atLeast"/>
        <w:ind w:left="0"/>
        <w:contextualSpacing/>
        <w:rPr>
          <w:rFonts w:asciiTheme="minorEastAsia" w:hAnsiTheme="minorEastAsia" w:eastAsiaTheme="minorEastAsia" w:cstheme="minorEastAsia"/>
          <w:lang w:val="zh-CN"/>
        </w:rPr>
      </w:pPr>
      <w:r>
        <w:rPr>
          <w:rFonts w:hint="eastAsia" w:asciiTheme="minorEastAsia" w:hAnsiTheme="minorEastAsia" w:eastAsiaTheme="minorEastAsia" w:cstheme="minorEastAsia"/>
          <w:lang w:val="zh-CN"/>
        </w:rPr>
        <w:t>GB 13735  聚乙烯吹塑农用地面覆盖薄膜</w:t>
      </w:r>
    </w:p>
    <w:p w14:paraId="6DB16584">
      <w:pPr>
        <w:pStyle w:val="146"/>
        <w:spacing w:before="156" w:after="156" w:line="400" w:lineRule="atLeast"/>
        <w:ind w:left="0"/>
        <w:contextualSpacing/>
        <w:rPr>
          <w:rFonts w:asciiTheme="minorEastAsia" w:hAnsiTheme="minorEastAsia" w:eastAsiaTheme="minorEastAsia" w:cstheme="minorEastAsia"/>
          <w:lang w:val="zh-CN"/>
        </w:rPr>
      </w:pPr>
      <w:r>
        <w:rPr>
          <w:rFonts w:hint="eastAsia" w:asciiTheme="minorEastAsia" w:hAnsiTheme="minorEastAsia" w:eastAsiaTheme="minorEastAsia" w:cstheme="minorEastAsia"/>
          <w:lang w:val="zh-CN"/>
        </w:rPr>
        <w:t>NY/T 391  绿色食品产地环境质量</w:t>
      </w:r>
    </w:p>
    <w:p w14:paraId="0EEE7DE0">
      <w:pPr>
        <w:pStyle w:val="146"/>
        <w:spacing w:before="156" w:after="156" w:line="400" w:lineRule="atLeast"/>
        <w:ind w:left="0"/>
        <w:contextualSpacing/>
        <w:rPr>
          <w:rFonts w:asciiTheme="minorEastAsia" w:hAnsiTheme="minorEastAsia" w:eastAsiaTheme="minorEastAsia" w:cstheme="minorEastAsia"/>
          <w:lang w:val="zh-CN"/>
        </w:rPr>
      </w:pPr>
      <w:r>
        <w:rPr>
          <w:rFonts w:hint="eastAsia" w:asciiTheme="minorEastAsia" w:hAnsiTheme="minorEastAsia" w:eastAsiaTheme="minorEastAsia" w:cstheme="minorEastAsia"/>
          <w:lang w:val="zh-CN"/>
        </w:rPr>
        <w:t>NY/T 393  绿色食品农药使用准则</w:t>
      </w:r>
    </w:p>
    <w:p w14:paraId="5C354A1A">
      <w:pPr>
        <w:pStyle w:val="146"/>
        <w:spacing w:before="156" w:after="156" w:line="400" w:lineRule="atLeast"/>
        <w:ind w:left="0"/>
        <w:contextualSpacing/>
        <w:rPr>
          <w:rFonts w:asciiTheme="minorEastAsia" w:hAnsiTheme="minorEastAsia" w:eastAsiaTheme="minorEastAsia" w:cstheme="minorEastAsia"/>
          <w:lang w:val="zh-CN"/>
        </w:rPr>
      </w:pPr>
      <w:r>
        <w:rPr>
          <w:rFonts w:hint="eastAsia" w:asciiTheme="minorEastAsia" w:hAnsiTheme="minorEastAsia" w:eastAsiaTheme="minorEastAsia" w:cstheme="minorEastAsia"/>
          <w:lang w:val="zh-CN"/>
        </w:rPr>
        <w:t>NY/T 394  绿色食品肥料使用准则</w:t>
      </w:r>
    </w:p>
    <w:p w14:paraId="4AB68992">
      <w:pPr>
        <w:pStyle w:val="146"/>
        <w:spacing w:before="156" w:after="156" w:line="400" w:lineRule="atLeast"/>
        <w:ind w:left="0"/>
        <w:contextualSpacing/>
        <w:rPr>
          <w:rFonts w:asciiTheme="minorEastAsia" w:hAnsiTheme="minorEastAsia" w:eastAsiaTheme="minorEastAsia" w:cstheme="minorEastAsia"/>
          <w:lang w:val="zh-CN"/>
        </w:rPr>
      </w:pPr>
      <w:r>
        <w:rPr>
          <w:rFonts w:hint="eastAsia" w:asciiTheme="minorEastAsia" w:hAnsiTheme="minorEastAsia" w:eastAsiaTheme="minorEastAsia" w:cstheme="minorEastAsia"/>
          <w:lang w:val="zh-CN"/>
        </w:rPr>
        <w:t>NY/T 658  绿色食品</w:t>
      </w:r>
      <w:r>
        <w:rPr>
          <w:rFonts w:hint="eastAsia" w:asciiTheme="minorEastAsia" w:hAnsiTheme="minorEastAsia" w:eastAsiaTheme="minorEastAsia" w:cstheme="minorEastAsia"/>
        </w:rPr>
        <w:t xml:space="preserve"> </w:t>
      </w:r>
      <w:r>
        <w:rPr>
          <w:rFonts w:hint="eastAsia" w:asciiTheme="minorEastAsia" w:hAnsiTheme="minorEastAsia" w:eastAsiaTheme="minorEastAsia" w:cstheme="minorEastAsia"/>
          <w:lang w:val="zh-CN"/>
        </w:rPr>
        <w:t>包装通用准则</w:t>
      </w:r>
    </w:p>
    <w:p w14:paraId="7C75A545">
      <w:pPr>
        <w:pStyle w:val="146"/>
        <w:spacing w:before="156" w:after="156" w:line="400" w:lineRule="atLeast"/>
        <w:ind w:left="0"/>
        <w:contextualSpacing/>
        <w:rPr>
          <w:rFonts w:asciiTheme="minorEastAsia" w:hAnsiTheme="minorEastAsia" w:eastAsiaTheme="minorEastAsia" w:cstheme="minorEastAsia"/>
          <w:lang w:val="zh-CN"/>
        </w:rPr>
      </w:pPr>
      <w:r>
        <w:rPr>
          <w:rFonts w:hint="eastAsia" w:asciiTheme="minorEastAsia" w:hAnsiTheme="minorEastAsia" w:eastAsiaTheme="minorEastAsia" w:cstheme="minorEastAsia"/>
          <w:lang w:val="zh-CN"/>
        </w:rPr>
        <w:t>NY/T 747  绿色食品</w:t>
      </w:r>
      <w:r>
        <w:rPr>
          <w:rFonts w:hint="eastAsia" w:asciiTheme="minorEastAsia" w:hAnsiTheme="minorEastAsia" w:eastAsiaTheme="minorEastAsia" w:cstheme="minorEastAsia"/>
        </w:rPr>
        <w:t xml:space="preserve"> </w:t>
      </w:r>
      <w:r>
        <w:rPr>
          <w:rFonts w:hint="eastAsia" w:asciiTheme="minorEastAsia" w:hAnsiTheme="minorEastAsia" w:eastAsiaTheme="minorEastAsia" w:cstheme="minorEastAsia"/>
          <w:lang w:val="zh-CN"/>
        </w:rPr>
        <w:t>瓜类蔬菜</w:t>
      </w:r>
    </w:p>
    <w:p w14:paraId="4E974F85">
      <w:pPr>
        <w:pStyle w:val="146"/>
        <w:spacing w:before="156" w:after="156" w:line="400" w:lineRule="atLeast"/>
        <w:ind w:left="0"/>
        <w:contextualSpacing/>
        <w:rPr>
          <w:rFonts w:asciiTheme="minorEastAsia" w:hAnsiTheme="minorEastAsia" w:eastAsiaTheme="minorEastAsia" w:cstheme="minorEastAsia"/>
          <w:lang w:val="zh-CN"/>
        </w:rPr>
      </w:pPr>
      <w:r>
        <w:rPr>
          <w:rFonts w:hint="eastAsia" w:asciiTheme="minorEastAsia" w:hAnsiTheme="minorEastAsia" w:eastAsiaTheme="minorEastAsia" w:cstheme="minorEastAsia"/>
          <w:lang w:val="zh-CN"/>
        </w:rPr>
        <w:t>NY/T 1056  绿色食品 储藏运输准则</w:t>
      </w:r>
    </w:p>
    <w:p w14:paraId="2EB6A13A">
      <w:pPr>
        <w:pStyle w:val="146"/>
        <w:spacing w:before="156" w:after="156" w:line="400" w:lineRule="atLeast"/>
        <w:ind w:left="0"/>
        <w:contextualSpacing/>
        <w:rPr>
          <w:rFonts w:asciiTheme="minorEastAsia" w:hAnsiTheme="minorEastAsia" w:eastAsiaTheme="minorEastAsia" w:cstheme="minorEastAsia"/>
          <w:lang w:val="zh-CN"/>
        </w:rPr>
      </w:pPr>
      <w:r>
        <w:rPr>
          <w:rFonts w:hint="eastAsia" w:asciiTheme="minorEastAsia" w:hAnsiTheme="minorEastAsia" w:eastAsiaTheme="minorEastAsia" w:cstheme="minorEastAsia"/>
          <w:lang w:val="zh-CN"/>
        </w:rPr>
        <w:t>NY/T 1982  丝瓜等级规格</w:t>
      </w:r>
    </w:p>
    <w:p w14:paraId="2A37641F">
      <w:pPr>
        <w:pStyle w:val="146"/>
        <w:spacing w:before="156" w:after="156" w:line="400" w:lineRule="atLeast"/>
        <w:ind w:left="0"/>
        <w:contextualSpacing/>
        <w:rPr>
          <w:rFonts w:asciiTheme="minorEastAsia" w:hAnsiTheme="minorEastAsia" w:eastAsiaTheme="minorEastAsia" w:cstheme="minorEastAsia"/>
          <w:lang w:val="zh-CN"/>
        </w:rPr>
      </w:pPr>
      <w:r>
        <w:rPr>
          <w:rFonts w:hint="eastAsia" w:asciiTheme="minorEastAsia" w:hAnsiTheme="minorEastAsia" w:eastAsiaTheme="minorEastAsia" w:cstheme="minorEastAsia"/>
          <w:lang w:val="zh-CN"/>
        </w:rPr>
        <w:t>NY/T 2118  蔬菜育苗基质</w:t>
      </w:r>
    </w:p>
    <w:p w14:paraId="48D563A7">
      <w:pPr>
        <w:pStyle w:val="146"/>
        <w:spacing w:before="156" w:after="156" w:line="400" w:lineRule="atLeast"/>
        <w:ind w:left="0"/>
        <w:contextualSpacing/>
        <w:rPr>
          <w:rFonts w:asciiTheme="minorEastAsia" w:hAnsiTheme="minorEastAsia" w:eastAsiaTheme="minorEastAsia" w:cstheme="minorEastAsia"/>
          <w:lang w:val="zh-CN"/>
        </w:rPr>
      </w:pPr>
      <w:r>
        <w:rPr>
          <w:rFonts w:hint="eastAsia" w:asciiTheme="minorEastAsia" w:hAnsiTheme="minorEastAsia" w:eastAsiaTheme="minorEastAsia" w:cstheme="minorEastAsia"/>
          <w:lang w:val="zh-CN"/>
        </w:rPr>
        <w:t>NY/T 2119  蔬菜穴盘育苗通则</w:t>
      </w:r>
    </w:p>
    <w:p w14:paraId="40EA5B71">
      <w:pPr>
        <w:pStyle w:val="146"/>
        <w:spacing w:before="156" w:after="156" w:line="400" w:lineRule="atLeast"/>
        <w:ind w:left="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NY/T 2624  水肥一体化技术规范 总则</w:t>
      </w:r>
    </w:p>
    <w:p w14:paraId="2B3664D5">
      <w:pPr>
        <w:pStyle w:val="146"/>
        <w:spacing w:before="156" w:after="156" w:line="400" w:lineRule="atLeast"/>
        <w:ind w:left="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GB/T 24689.2  植物保护机械 杀虫灯</w:t>
      </w:r>
    </w:p>
    <w:p w14:paraId="5C28AAFF">
      <w:pPr>
        <w:pStyle w:val="2"/>
      </w:pPr>
      <w:bookmarkStart w:id="10" w:name="_Toc493511138"/>
      <w:bookmarkEnd w:id="10"/>
      <w:bookmarkStart w:id="11" w:name="_Toc493513230"/>
      <w:bookmarkStart w:id="12" w:name="_Toc493528148"/>
      <w:bookmarkStart w:id="13" w:name="_Toc493513109"/>
      <w:bookmarkStart w:id="14" w:name="_Toc493512004"/>
      <w:r>
        <w:rPr>
          <w:rFonts w:hint="eastAsia"/>
        </w:rPr>
        <w:t>3 产地环境</w:t>
      </w:r>
      <w:bookmarkEnd w:id="11"/>
      <w:bookmarkEnd w:id="12"/>
      <w:bookmarkEnd w:id="13"/>
      <w:bookmarkEnd w:id="14"/>
    </w:p>
    <w:p w14:paraId="4266B4F5">
      <w:pPr>
        <w:pStyle w:val="146"/>
        <w:spacing w:before="156" w:after="156" w:line="400" w:lineRule="atLeast"/>
        <w:ind w:left="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生产基地应选择阳光充足、地势高燥平整、集中成片、排灌方便的区域，土壤要求深厚疏松、富含有机质、一般pH值6.0～7.5、前茬1～2年内未种过瓜类蔬菜的壤土或砂质壤土。产地环境条件应符合</w:t>
      </w:r>
      <w:r>
        <w:rPr>
          <w:rFonts w:hint="eastAsia" w:asciiTheme="minorEastAsia" w:hAnsiTheme="minorEastAsia" w:eastAsiaTheme="minorEastAsia" w:cstheme="minorEastAsia"/>
          <w:lang w:val="zh-CN"/>
        </w:rPr>
        <w:t>NY/T 391</w:t>
      </w:r>
      <w:r>
        <w:rPr>
          <w:rFonts w:hint="eastAsia" w:asciiTheme="minorEastAsia" w:hAnsiTheme="minorEastAsia" w:eastAsiaTheme="minorEastAsia" w:cstheme="minorEastAsia"/>
        </w:rPr>
        <w:t>的规定。</w:t>
      </w:r>
    </w:p>
    <w:p w14:paraId="73129213">
      <w:pPr>
        <w:pStyle w:val="2"/>
      </w:pPr>
      <w:bookmarkStart w:id="15" w:name="_Toc493513231"/>
      <w:bookmarkStart w:id="16" w:name="_Toc493528149"/>
      <w:bookmarkStart w:id="17" w:name="_Toc493512005"/>
      <w:bookmarkStart w:id="18" w:name="_Toc493513110"/>
      <w:r>
        <w:rPr>
          <w:rFonts w:hint="eastAsia"/>
        </w:rPr>
        <w:t>4 栽培季节</w:t>
      </w:r>
    </w:p>
    <w:p w14:paraId="7632C589">
      <w:pPr>
        <w:pStyle w:val="146"/>
        <w:spacing w:before="156" w:after="156" w:line="400" w:lineRule="atLeast"/>
        <w:ind w:left="0" w:firstLine="0" w:firstLineChars="0"/>
        <w:contextualSpacing/>
        <w:rPr>
          <w:rFonts w:ascii="黑体" w:hAnsi="黑体" w:eastAsia="黑体" w:cs="黑体"/>
        </w:rPr>
      </w:pPr>
      <w:r>
        <w:rPr>
          <w:rFonts w:hint="eastAsia" w:ascii="黑体" w:hAnsi="黑体" w:eastAsia="黑体" w:cs="黑体"/>
        </w:rPr>
        <w:t>4.1 长江中下游地区</w:t>
      </w:r>
    </w:p>
    <w:p w14:paraId="4B7072CF">
      <w:pPr>
        <w:pStyle w:val="146"/>
        <w:spacing w:before="156" w:after="156" w:line="400" w:lineRule="atLeast"/>
        <w:ind w:left="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本种植区域</w:t>
      </w:r>
      <w:r>
        <w:rPr>
          <w:rFonts w:asciiTheme="minorEastAsia" w:hAnsiTheme="minorEastAsia" w:eastAsiaTheme="minorEastAsia" w:cstheme="minorEastAsia"/>
        </w:rPr>
        <w:t>包括上海、江苏</w:t>
      </w:r>
      <w:r>
        <w:rPr>
          <w:rFonts w:hint="eastAsia" w:asciiTheme="minorEastAsia" w:hAnsiTheme="minorEastAsia" w:eastAsiaTheme="minorEastAsia" w:cstheme="minorEastAsia"/>
        </w:rPr>
        <w:t>南部</w:t>
      </w:r>
      <w:r>
        <w:rPr>
          <w:rFonts w:asciiTheme="minorEastAsia" w:hAnsiTheme="minorEastAsia" w:eastAsiaTheme="minorEastAsia" w:cstheme="minorEastAsia"/>
        </w:rPr>
        <w:t>、浙江、安徽</w:t>
      </w:r>
      <w:r>
        <w:rPr>
          <w:rFonts w:hint="eastAsia" w:asciiTheme="minorEastAsia" w:hAnsiTheme="minorEastAsia" w:eastAsiaTheme="minorEastAsia" w:cstheme="minorEastAsia"/>
        </w:rPr>
        <w:t>南部</w:t>
      </w:r>
      <w:r>
        <w:rPr>
          <w:rFonts w:asciiTheme="minorEastAsia" w:hAnsiTheme="minorEastAsia" w:eastAsiaTheme="minorEastAsia" w:cstheme="minorEastAsia"/>
        </w:rPr>
        <w:t>、江西、湖北</w:t>
      </w:r>
      <w:r>
        <w:rPr>
          <w:rFonts w:hint="eastAsia" w:asciiTheme="minorEastAsia" w:hAnsiTheme="minorEastAsia" w:eastAsiaTheme="minorEastAsia" w:cstheme="minorEastAsia"/>
        </w:rPr>
        <w:t>、</w:t>
      </w:r>
      <w:r>
        <w:rPr>
          <w:rFonts w:asciiTheme="minorEastAsia" w:hAnsiTheme="minorEastAsia" w:eastAsiaTheme="minorEastAsia" w:cstheme="minorEastAsia"/>
        </w:rPr>
        <w:t>湖南。</w:t>
      </w:r>
    </w:p>
    <w:p w14:paraId="162E13B4">
      <w:pPr>
        <w:pStyle w:val="146"/>
        <w:spacing w:before="156" w:after="156" w:line="400" w:lineRule="atLeast"/>
        <w:ind w:left="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春季栽培：2月下旬至3月上旬播种，4月上中旬定植，5月中下旬开始采收，8月开始拉秧。</w:t>
      </w:r>
    </w:p>
    <w:p w14:paraId="7A0D1403">
      <w:pPr>
        <w:pStyle w:val="146"/>
        <w:spacing w:before="156" w:after="156" w:line="400" w:lineRule="atLeast"/>
        <w:ind w:left="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夏季栽培：4月下旬至5月上旬播种，5月下旬至6月上旬定植，7月上旬开始采收，10月开始拉秧。</w:t>
      </w:r>
    </w:p>
    <w:p w14:paraId="4A509B85">
      <w:pPr>
        <w:pStyle w:val="146"/>
        <w:spacing w:before="156" w:after="156" w:line="400" w:lineRule="atLeast"/>
        <w:ind w:left="0" w:firstLine="0" w:firstLineChars="0"/>
        <w:contextualSpacing/>
        <w:rPr>
          <w:rFonts w:ascii="黑体" w:hAnsi="黑体" w:eastAsia="黑体" w:cs="黑体"/>
          <w:color w:val="000000" w:themeColor="text1"/>
          <w14:textFill>
            <w14:solidFill>
              <w14:schemeClr w14:val="tx1"/>
            </w14:solidFill>
          </w14:textFill>
        </w:rPr>
      </w:pPr>
      <w:r>
        <w:rPr>
          <w:rFonts w:hint="eastAsia" w:ascii="黑体" w:hAnsi="黑体" w:eastAsia="黑体" w:cs="黑体"/>
          <w:color w:val="000000" w:themeColor="text1"/>
          <w14:textFill>
            <w14:solidFill>
              <w14:schemeClr w14:val="tx1"/>
            </w14:solidFill>
          </w14:textFill>
        </w:rPr>
        <w:t>4.2 南部沿海地区</w:t>
      </w:r>
    </w:p>
    <w:p w14:paraId="0F06BA13">
      <w:pPr>
        <w:pStyle w:val="146"/>
        <w:spacing w:before="156" w:after="156" w:line="400" w:lineRule="atLeast"/>
        <w:ind w:left="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本种植区域</w:t>
      </w:r>
      <w:r>
        <w:rPr>
          <w:rFonts w:asciiTheme="minorEastAsia" w:hAnsiTheme="minorEastAsia" w:eastAsiaTheme="minorEastAsia" w:cstheme="minorEastAsia"/>
        </w:rPr>
        <w:t>包括福建、广东、广西、海南。</w:t>
      </w:r>
    </w:p>
    <w:p w14:paraId="065272E5">
      <w:pPr>
        <w:pStyle w:val="146"/>
        <w:spacing w:before="156" w:after="156" w:line="400" w:lineRule="atLeast"/>
        <w:ind w:left="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春季栽培：2月中下旬播种，3月下旬至4月上旬定植，5月上旬开始采收，7月开始拉秧。</w:t>
      </w:r>
    </w:p>
    <w:p w14:paraId="6AFD9ED8">
      <w:pPr>
        <w:pStyle w:val="146"/>
        <w:spacing w:before="156" w:after="156" w:line="400" w:lineRule="atLeast"/>
        <w:ind w:left="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夏季栽培：4月中旬至5月上旬播种，5月中旬至6月上旬定植，7月上旬开始采收，9月开始拉秧。</w:t>
      </w:r>
    </w:p>
    <w:p w14:paraId="2CDD36E6">
      <w:pPr>
        <w:pStyle w:val="146"/>
        <w:spacing w:before="156" w:after="156" w:line="400" w:lineRule="atLeast"/>
        <w:ind w:left="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秋季栽培：7月下旬至8月上旬播种，8月下旬至9月上旬定植，10月上旬开始采收，11月开始拉秧。</w:t>
      </w:r>
    </w:p>
    <w:p w14:paraId="22A6C700">
      <w:pPr>
        <w:pStyle w:val="146"/>
        <w:spacing w:before="156" w:after="156" w:line="400" w:lineRule="atLeast"/>
        <w:ind w:left="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冬季栽培：9月至翌年1月播种，10月至翌年2月定植，12月开始采收，翌年3月开始拉秧。</w:t>
      </w:r>
    </w:p>
    <w:p w14:paraId="5C7DC39B">
      <w:pPr>
        <w:pStyle w:val="146"/>
        <w:spacing w:before="156" w:after="156" w:line="400" w:lineRule="atLeast"/>
        <w:ind w:left="0" w:firstLine="0" w:firstLineChars="0"/>
        <w:contextualSpacing/>
        <w:rPr>
          <w:rFonts w:ascii="黑体" w:hAnsi="黑体" w:eastAsia="黑体" w:cs="黑体"/>
          <w:color w:val="000000" w:themeColor="text1"/>
          <w14:textFill>
            <w14:solidFill>
              <w14:schemeClr w14:val="tx1"/>
            </w14:solidFill>
          </w14:textFill>
        </w:rPr>
      </w:pPr>
      <w:r>
        <w:rPr>
          <w:rFonts w:hint="eastAsia" w:ascii="黑体" w:hAnsi="黑体" w:eastAsia="黑体" w:cs="黑体"/>
          <w:color w:val="000000" w:themeColor="text1"/>
          <w14:textFill>
            <w14:solidFill>
              <w14:schemeClr w14:val="tx1"/>
            </w14:solidFill>
          </w14:textFill>
        </w:rPr>
        <w:t>4.3 西南地区</w:t>
      </w:r>
    </w:p>
    <w:p w14:paraId="59439EC2">
      <w:pPr>
        <w:pStyle w:val="146"/>
        <w:spacing w:before="156" w:after="156" w:line="400" w:lineRule="atLeast"/>
        <w:ind w:left="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本种植区域</w:t>
      </w:r>
      <w:r>
        <w:rPr>
          <w:rFonts w:asciiTheme="minorEastAsia" w:hAnsiTheme="minorEastAsia" w:eastAsiaTheme="minorEastAsia" w:cstheme="minorEastAsia"/>
        </w:rPr>
        <w:t>包括重庆、四川、贵州</w:t>
      </w:r>
      <w:r>
        <w:rPr>
          <w:rFonts w:hint="eastAsia" w:asciiTheme="minorEastAsia" w:hAnsiTheme="minorEastAsia" w:eastAsiaTheme="minorEastAsia" w:cstheme="minorEastAsia"/>
        </w:rPr>
        <w:t>、</w:t>
      </w:r>
      <w:r>
        <w:rPr>
          <w:rFonts w:asciiTheme="minorEastAsia" w:hAnsiTheme="minorEastAsia" w:eastAsiaTheme="minorEastAsia" w:cstheme="minorEastAsia"/>
        </w:rPr>
        <w:t>云南。</w:t>
      </w:r>
    </w:p>
    <w:p w14:paraId="5C72C34E">
      <w:pPr>
        <w:pStyle w:val="146"/>
        <w:spacing w:before="156" w:after="156" w:line="400" w:lineRule="atLeast"/>
        <w:ind w:left="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春季栽培：2月下旬至3月中旬播种，4月上中旬定植，5月中下旬开始采收，8月开始拉秧。</w:t>
      </w:r>
    </w:p>
    <w:p w14:paraId="00D21E58">
      <w:pPr>
        <w:pStyle w:val="146"/>
        <w:spacing w:before="156" w:after="156" w:line="400" w:lineRule="atLeast"/>
        <w:ind w:left="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夏季栽培：4月下旬至7月上旬播种，5月下旬至8月上旬定植，7月上旬开始采收，10月开始拉秧。</w:t>
      </w:r>
    </w:p>
    <w:p w14:paraId="490721B4">
      <w:pPr>
        <w:pStyle w:val="146"/>
        <w:spacing w:before="156" w:after="156" w:line="400" w:lineRule="atLeast"/>
        <w:ind w:left="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秋季栽培：7月下旬至8月上旬播种，8月下旬至9月上旬定植，10月上旬开始采收，11月开始拉秧。</w:t>
      </w:r>
    </w:p>
    <w:p w14:paraId="7EBCF45E">
      <w:pPr>
        <w:pStyle w:val="2"/>
      </w:pPr>
      <w:r>
        <w:rPr>
          <w:rFonts w:hint="eastAsia"/>
        </w:rPr>
        <w:t>5 品种选择</w:t>
      </w:r>
      <w:bookmarkEnd w:id="15"/>
      <w:bookmarkEnd w:id="16"/>
      <w:bookmarkEnd w:id="17"/>
      <w:bookmarkEnd w:id="18"/>
    </w:p>
    <w:p w14:paraId="6A08E025">
      <w:pPr>
        <w:pStyle w:val="146"/>
        <w:spacing w:before="156" w:after="156" w:line="400" w:lineRule="atLeast"/>
        <w:ind w:left="0" w:firstLine="0" w:firstLineChars="0"/>
        <w:contextualSpacing/>
        <w:rPr>
          <w:rFonts w:ascii="黑体" w:hAnsi="黑体" w:eastAsia="黑体" w:cs="黑体"/>
        </w:rPr>
      </w:pPr>
      <w:bookmarkStart w:id="19" w:name="_Toc493513113"/>
      <w:r>
        <w:rPr>
          <w:rFonts w:hint="eastAsia" w:ascii="黑体" w:hAnsi="黑体" w:eastAsia="黑体" w:cs="黑体"/>
        </w:rPr>
        <w:t>5.1 选择原则</w:t>
      </w:r>
      <w:bookmarkEnd w:id="19"/>
    </w:p>
    <w:p w14:paraId="1C2164F2">
      <w:pPr>
        <w:pStyle w:val="146"/>
        <w:spacing w:before="156" w:after="156" w:line="400" w:lineRule="atLeast"/>
        <w:ind w:left="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针对不同地理区域环境特点选择符合目标市场需求的品种。</w:t>
      </w:r>
    </w:p>
    <w:p w14:paraId="07092056">
      <w:pPr>
        <w:pStyle w:val="146"/>
        <w:spacing w:before="156" w:after="156" w:line="400" w:lineRule="atLeast"/>
        <w:ind w:left="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长江中下游地区</w:t>
      </w:r>
      <w:r>
        <w:rPr>
          <w:rFonts w:asciiTheme="minorEastAsia" w:hAnsiTheme="minorEastAsia" w:eastAsiaTheme="minorEastAsia" w:cstheme="minorEastAsia"/>
        </w:rPr>
        <w:t>：</w:t>
      </w:r>
      <w:r>
        <w:rPr>
          <w:rFonts w:hint="eastAsia" w:asciiTheme="minorEastAsia" w:hAnsiTheme="minorEastAsia" w:eastAsiaTheme="minorEastAsia" w:cstheme="minorEastAsia"/>
        </w:rPr>
        <w:t>选择生长势强、连续结果能力强、耐低温弱光又耐高温、抗病性强、商品性好、高产的品种。</w:t>
      </w:r>
    </w:p>
    <w:p w14:paraId="3D95960F">
      <w:pPr>
        <w:pStyle w:val="146"/>
        <w:spacing w:before="156" w:after="156" w:line="400" w:lineRule="atLeast"/>
        <w:ind w:left="0"/>
        <w:contextualSpacing/>
        <w:rPr>
          <w:rFonts w:asciiTheme="minorEastAsia" w:hAnsiTheme="minorEastAsia" w:eastAsiaTheme="minorEastAsia" w:cstheme="minorEastAsia"/>
        </w:rPr>
      </w:pPr>
      <w:r>
        <w:rPr>
          <w:rFonts w:asciiTheme="minorEastAsia" w:hAnsiTheme="minorEastAsia" w:eastAsiaTheme="minorEastAsia" w:cstheme="minorEastAsia"/>
        </w:rPr>
        <w:t>南部沿海地区</w:t>
      </w:r>
      <w:r>
        <w:rPr>
          <w:rFonts w:hint="eastAsia" w:asciiTheme="minorEastAsia" w:hAnsiTheme="minorEastAsia" w:eastAsiaTheme="minorEastAsia" w:cstheme="minorEastAsia"/>
        </w:rPr>
        <w:t>及</w:t>
      </w:r>
      <w:r>
        <w:rPr>
          <w:rFonts w:asciiTheme="minorEastAsia" w:hAnsiTheme="minorEastAsia" w:eastAsiaTheme="minorEastAsia" w:cstheme="minorEastAsia"/>
        </w:rPr>
        <w:t>西南地区：</w:t>
      </w:r>
      <w:r>
        <w:rPr>
          <w:rFonts w:hint="eastAsia" w:asciiTheme="minorEastAsia" w:hAnsiTheme="minorEastAsia" w:eastAsiaTheme="minorEastAsia" w:cstheme="minorEastAsia"/>
        </w:rPr>
        <w:t>选择生长势强、适应性广、耐高温耐湿、抗病性强、商品性好、高产的品种。</w:t>
      </w:r>
    </w:p>
    <w:p w14:paraId="7F03CCF5">
      <w:pPr>
        <w:pStyle w:val="146"/>
        <w:spacing w:before="156" w:after="156" w:line="400" w:lineRule="atLeast"/>
        <w:ind w:left="0" w:firstLine="0" w:firstLineChars="0"/>
        <w:contextualSpacing/>
        <w:rPr>
          <w:rFonts w:ascii="黑体" w:hAnsi="黑体" w:eastAsia="黑体" w:cs="黑体"/>
        </w:rPr>
      </w:pPr>
      <w:bookmarkStart w:id="20" w:name="_Toc493513114"/>
      <w:r>
        <w:rPr>
          <w:rFonts w:hint="eastAsia" w:ascii="黑体" w:hAnsi="黑体" w:eastAsia="黑体" w:cs="黑体"/>
        </w:rPr>
        <w:t>5.2 品种选</w:t>
      </w:r>
      <w:bookmarkEnd w:id="20"/>
      <w:r>
        <w:rPr>
          <w:rFonts w:hint="eastAsia" w:ascii="黑体" w:hAnsi="黑体" w:eastAsia="黑体" w:cs="黑体"/>
        </w:rPr>
        <w:t>用</w:t>
      </w:r>
    </w:p>
    <w:p w14:paraId="422DCFA4">
      <w:pPr>
        <w:pStyle w:val="146"/>
        <w:spacing w:before="156" w:after="156" w:line="400" w:lineRule="atLeast"/>
        <w:ind w:left="0"/>
        <w:contextualSpacing/>
        <w:rPr>
          <w:rFonts w:asciiTheme="minorEastAsia" w:hAnsiTheme="minorEastAsia" w:eastAsiaTheme="minorEastAsia" w:cstheme="minorEastAsia"/>
          <w:lang w:val="zh-CN"/>
        </w:rPr>
      </w:pPr>
      <w:r>
        <w:rPr>
          <w:rFonts w:hint="eastAsia" w:asciiTheme="minorEastAsia" w:hAnsiTheme="minorEastAsia" w:eastAsiaTheme="minorEastAsia" w:cstheme="minorEastAsia"/>
        </w:rPr>
        <w:t>普通丝瓜品种：绿油2号、苏油亮1号、绿美2号、牛奶2号、白关丝瓜、油亮二号、油亮三号、优比1号、绿美丝瓜、蓉杂3号等</w:t>
      </w:r>
      <w:r>
        <w:rPr>
          <w:rFonts w:hint="eastAsia" w:asciiTheme="minorEastAsia" w:hAnsiTheme="minorEastAsia" w:eastAsiaTheme="minorEastAsia" w:cstheme="minorEastAsia"/>
          <w:lang w:val="zh-CN"/>
        </w:rPr>
        <w:t>。</w:t>
      </w:r>
    </w:p>
    <w:p w14:paraId="5B78F90F">
      <w:pPr>
        <w:pStyle w:val="146"/>
        <w:spacing w:before="156" w:after="156" w:line="400" w:lineRule="atLeast"/>
        <w:ind w:left="0"/>
        <w:contextualSpacing/>
        <w:rPr>
          <w:rFonts w:ascii="宋体" w:hAnsi="宋体" w:cs="宋体" w:eastAsiaTheme="minorEastAsia"/>
          <w:kern w:val="0"/>
        </w:rPr>
      </w:pPr>
      <w:r>
        <w:rPr>
          <w:rFonts w:hint="eastAsia" w:asciiTheme="minorEastAsia" w:hAnsiTheme="minorEastAsia" w:eastAsiaTheme="minorEastAsia" w:cstheme="minorEastAsia"/>
        </w:rPr>
        <w:t>有棱丝瓜品种：泰优8号、泰优10号、绿胜3号、雅绿9号、粤优5号、粤优8号、夏优4号、夏绿5号、绿源3号、华夏1号等。</w:t>
      </w:r>
    </w:p>
    <w:p w14:paraId="6C45A15D">
      <w:pPr>
        <w:pStyle w:val="2"/>
      </w:pPr>
      <w:bookmarkStart w:id="21" w:name="_Toc493513234"/>
      <w:bookmarkStart w:id="22" w:name="_Toc493512008"/>
      <w:bookmarkStart w:id="23" w:name="_Toc493528152"/>
      <w:bookmarkStart w:id="24" w:name="_Toc493513115"/>
      <w:r>
        <w:rPr>
          <w:rFonts w:hint="eastAsia"/>
        </w:rPr>
        <w:t>6 育苗</w:t>
      </w:r>
      <w:bookmarkEnd w:id="21"/>
      <w:bookmarkEnd w:id="22"/>
      <w:bookmarkEnd w:id="23"/>
      <w:bookmarkEnd w:id="24"/>
    </w:p>
    <w:p w14:paraId="531D631B">
      <w:pPr>
        <w:pStyle w:val="146"/>
        <w:spacing w:before="156" w:after="156" w:line="400" w:lineRule="atLeast"/>
        <w:ind w:left="0" w:firstLine="0" w:firstLineChars="0"/>
        <w:contextualSpacing/>
        <w:rPr>
          <w:rFonts w:ascii="黑体" w:hAnsi="黑体" w:eastAsia="黑体" w:cs="黑体"/>
        </w:rPr>
      </w:pPr>
      <w:bookmarkStart w:id="25" w:name="_Toc493513235"/>
      <w:bookmarkStart w:id="26" w:name="_Toc493513116"/>
      <w:bookmarkStart w:id="27" w:name="_Toc493528153"/>
      <w:r>
        <w:rPr>
          <w:rFonts w:hint="eastAsia" w:ascii="黑体" w:hAnsi="黑体" w:eastAsia="黑体" w:cs="黑体"/>
        </w:rPr>
        <w:t>6.1</w:t>
      </w:r>
      <w:bookmarkEnd w:id="25"/>
      <w:bookmarkEnd w:id="26"/>
      <w:bookmarkEnd w:id="27"/>
      <w:bookmarkStart w:id="28" w:name="_Toc493513117"/>
      <w:r>
        <w:rPr>
          <w:rFonts w:hint="eastAsia" w:ascii="黑体" w:hAnsi="黑体" w:eastAsia="黑体" w:cs="黑体"/>
        </w:rPr>
        <w:t xml:space="preserve"> 设施、设备</w:t>
      </w:r>
      <w:bookmarkEnd w:id="28"/>
    </w:p>
    <w:p w14:paraId="1FE9391A">
      <w:pPr>
        <w:pStyle w:val="146"/>
        <w:spacing w:before="156" w:after="156" w:line="400" w:lineRule="atLeast"/>
        <w:ind w:left="0"/>
        <w:contextualSpacing/>
        <w:rPr>
          <w:rFonts w:asciiTheme="minorEastAsia" w:hAnsiTheme="minorEastAsia" w:eastAsiaTheme="minorEastAsia" w:cstheme="minorEastAsia"/>
          <w:lang w:val="zh-CN"/>
        </w:rPr>
      </w:pPr>
      <w:r>
        <w:rPr>
          <w:rFonts w:hint="eastAsia" w:asciiTheme="minorEastAsia" w:hAnsiTheme="minorEastAsia" w:eastAsiaTheme="minorEastAsia" w:cstheme="minorEastAsia"/>
          <w:lang w:val="zh-CN"/>
        </w:rPr>
        <w:t>育苗设施一般为</w:t>
      </w:r>
      <w:r>
        <w:rPr>
          <w:rFonts w:hint="eastAsia" w:ascii="Calibri" w:hAnsi="Calibri" w:cs="宋体"/>
          <w:lang w:val="zh-CN"/>
        </w:rPr>
        <w:t>连栋</w:t>
      </w:r>
      <w:r>
        <w:rPr>
          <w:rFonts w:hint="eastAsia" w:ascii="Calibri" w:hAnsi="Calibri" w:cs="宋体"/>
        </w:rPr>
        <w:t>薄膜</w:t>
      </w:r>
      <w:r>
        <w:rPr>
          <w:rFonts w:hint="eastAsia" w:ascii="Calibri" w:hAnsi="Calibri" w:cs="宋体"/>
          <w:lang w:val="zh-CN"/>
        </w:rPr>
        <w:t>温室、</w:t>
      </w:r>
      <w:r>
        <w:rPr>
          <w:rFonts w:hint="eastAsia" w:asciiTheme="minorEastAsia" w:hAnsiTheme="minorEastAsia" w:eastAsiaTheme="minorEastAsia" w:cstheme="minorEastAsia"/>
          <w:lang w:val="zh-CN"/>
        </w:rPr>
        <w:t>塑料大棚等，</w:t>
      </w:r>
      <w:r>
        <w:rPr>
          <w:rFonts w:hint="eastAsia" w:asciiTheme="minorEastAsia" w:hAnsiTheme="minorEastAsia" w:eastAsiaTheme="minorEastAsia" w:cstheme="minorEastAsia"/>
        </w:rPr>
        <w:t>需要配置</w:t>
      </w:r>
      <w:r>
        <w:rPr>
          <w:rFonts w:hint="eastAsia" w:asciiTheme="minorEastAsia" w:hAnsiTheme="minorEastAsia" w:eastAsiaTheme="minorEastAsia" w:cstheme="minorEastAsia"/>
          <w:lang w:val="zh-CN"/>
        </w:rPr>
        <w:t>加温、补光、通风、</w:t>
      </w:r>
      <w:r>
        <w:rPr>
          <w:rFonts w:hint="eastAsia" w:asciiTheme="minorEastAsia" w:hAnsiTheme="minorEastAsia" w:eastAsiaTheme="minorEastAsia" w:cstheme="minorEastAsia"/>
        </w:rPr>
        <w:t>降温</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遮阳网、育苗床、水肥一体化</w:t>
      </w:r>
      <w:r>
        <w:rPr>
          <w:rFonts w:hint="eastAsia" w:asciiTheme="minorEastAsia" w:hAnsiTheme="minorEastAsia" w:eastAsiaTheme="minorEastAsia" w:cstheme="minorEastAsia"/>
          <w:lang w:val="zh-CN"/>
        </w:rPr>
        <w:t>等设备</w:t>
      </w:r>
      <w:r>
        <w:rPr>
          <w:rFonts w:hint="eastAsia" w:asciiTheme="minorEastAsia" w:hAnsiTheme="minorEastAsia" w:eastAsiaTheme="minorEastAsia" w:cstheme="minorEastAsia"/>
        </w:rPr>
        <w:t>物资</w:t>
      </w:r>
      <w:r>
        <w:rPr>
          <w:rFonts w:hint="eastAsia" w:asciiTheme="minorEastAsia" w:hAnsiTheme="minorEastAsia" w:eastAsiaTheme="minorEastAsia" w:cstheme="minorEastAsia"/>
          <w:lang w:val="zh-CN"/>
        </w:rPr>
        <w:t>。</w:t>
      </w:r>
    </w:p>
    <w:p w14:paraId="26902EB8">
      <w:pPr>
        <w:pStyle w:val="146"/>
        <w:spacing w:before="156" w:after="156" w:line="400" w:lineRule="atLeast"/>
        <w:ind w:left="0" w:firstLine="0" w:firstLineChars="0"/>
        <w:contextualSpacing/>
        <w:rPr>
          <w:rFonts w:ascii="黑体" w:hAnsi="黑体" w:eastAsia="黑体" w:cs="黑体"/>
        </w:rPr>
      </w:pPr>
      <w:bookmarkStart w:id="29" w:name="_Toc493513118"/>
      <w:r>
        <w:rPr>
          <w:rFonts w:hint="eastAsia" w:ascii="黑体" w:hAnsi="黑体" w:eastAsia="黑体" w:cs="黑体"/>
        </w:rPr>
        <w:t xml:space="preserve">6.2 </w:t>
      </w:r>
      <w:bookmarkEnd w:id="29"/>
      <w:r>
        <w:rPr>
          <w:rFonts w:hint="eastAsia" w:ascii="黑体" w:hAnsi="黑体" w:eastAsia="黑体" w:cs="黑体"/>
        </w:rPr>
        <w:t>播前准备</w:t>
      </w:r>
    </w:p>
    <w:p w14:paraId="4C917631">
      <w:pPr>
        <w:pStyle w:val="146"/>
        <w:spacing w:before="156" w:after="156" w:line="400" w:lineRule="atLeast"/>
        <w:ind w:left="0" w:firstLine="0" w:firstLineChars="0"/>
        <w:contextualSpacing/>
      </w:pPr>
      <w:r>
        <w:rPr>
          <w:rFonts w:hint="eastAsia" w:ascii="黑体" w:hAnsi="黑体" w:eastAsia="黑体" w:cs="黑体"/>
        </w:rPr>
        <w:t>6.2.1 穴盘</w:t>
      </w:r>
    </w:p>
    <w:p w14:paraId="18819AAE">
      <w:pPr>
        <w:pStyle w:val="146"/>
        <w:spacing w:before="156" w:after="156" w:line="400" w:lineRule="atLeast"/>
        <w:ind w:left="0"/>
        <w:contextualSpacing/>
        <w:rPr>
          <w:rFonts w:asciiTheme="minorEastAsia" w:hAnsiTheme="minorEastAsia" w:eastAsiaTheme="minorEastAsia" w:cstheme="minorEastAsia"/>
        </w:rPr>
      </w:pPr>
      <w:r>
        <w:rPr>
          <w:rFonts w:hint="eastAsia" w:ascii="宋体" w:hAnsi="宋体" w:cs="宋体"/>
        </w:rPr>
        <w:t>采用50孔或72孔穴盘，育苗</w:t>
      </w:r>
      <w:r>
        <w:rPr>
          <w:rFonts w:hint="eastAsia" w:asciiTheme="minorEastAsia" w:hAnsiTheme="minorEastAsia" w:eastAsiaTheme="minorEastAsia" w:cstheme="minorEastAsia"/>
        </w:rPr>
        <w:t>前污物很少的穴盘可用75%的酒精喷洒消毒，污物较多的穴盘可用0.2%～0.3%高锰酸钾溶液浸泡12h消毒，均冲洗干净后待用；新穴盘直接使用</w:t>
      </w:r>
      <w:r>
        <w:rPr>
          <w:rFonts w:asciiTheme="minorEastAsia" w:hAnsiTheme="minorEastAsia" w:eastAsiaTheme="minorEastAsia" w:cstheme="minorEastAsia"/>
          <w:lang w:val="zh-CN"/>
        </w:rPr>
        <w:t>。</w:t>
      </w:r>
      <w:r>
        <w:rPr>
          <w:rFonts w:hint="eastAsia" w:asciiTheme="minorEastAsia" w:hAnsiTheme="minorEastAsia" w:eastAsiaTheme="minorEastAsia" w:cstheme="minorEastAsia"/>
        </w:rPr>
        <w:t>穴盘质量应符合NY/T 2119的规定。</w:t>
      </w:r>
    </w:p>
    <w:p w14:paraId="090F1E35">
      <w:pPr>
        <w:pStyle w:val="146"/>
        <w:spacing w:before="156" w:after="156" w:line="400" w:lineRule="atLeast"/>
        <w:ind w:left="0" w:firstLine="0" w:firstLineChars="0"/>
        <w:contextualSpacing/>
        <w:rPr>
          <w:rFonts w:ascii="黑体" w:hAnsi="黑体" w:eastAsia="黑体" w:cs="黑体"/>
        </w:rPr>
      </w:pPr>
      <w:r>
        <w:rPr>
          <w:rFonts w:hint="eastAsia" w:ascii="黑体" w:hAnsi="黑体" w:eastAsia="黑体" w:cs="黑体"/>
        </w:rPr>
        <w:t>6.2.2 基质</w:t>
      </w:r>
    </w:p>
    <w:p w14:paraId="601337B3">
      <w:pPr>
        <w:pStyle w:val="146"/>
        <w:spacing w:before="156" w:after="156" w:line="400" w:lineRule="atLeast"/>
        <w:ind w:left="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提倡采用商用瓜类蔬菜专用育苗基质，也可自配：优质泥炭、蛭石、珍珠岩按体积比6﹕2﹕1配制，搅拌均匀，装入穴盘。基质应符合NY/T 2118的规定。</w:t>
      </w:r>
    </w:p>
    <w:p w14:paraId="605925FA">
      <w:pPr>
        <w:pStyle w:val="146"/>
        <w:spacing w:before="156" w:after="156" w:line="400" w:lineRule="atLeast"/>
        <w:ind w:left="0" w:firstLine="0" w:firstLineChars="0"/>
        <w:contextualSpacing/>
        <w:rPr>
          <w:rFonts w:ascii="黑体" w:hAnsi="黑体" w:eastAsia="黑体" w:cs="黑体"/>
        </w:rPr>
      </w:pPr>
      <w:bookmarkStart w:id="30" w:name="_Toc493513122"/>
      <w:bookmarkStart w:id="31" w:name="_Toc493528155"/>
      <w:bookmarkStart w:id="32" w:name="_Toc493513237"/>
      <w:r>
        <w:rPr>
          <w:rFonts w:hint="eastAsia" w:ascii="黑体" w:hAnsi="黑体" w:eastAsia="黑体" w:cs="黑体"/>
        </w:rPr>
        <w:t>6.3 种子处理</w:t>
      </w:r>
      <w:bookmarkEnd w:id="30"/>
      <w:bookmarkEnd w:id="31"/>
      <w:bookmarkEnd w:id="32"/>
    </w:p>
    <w:p w14:paraId="3E82E448">
      <w:pPr>
        <w:pStyle w:val="146"/>
        <w:spacing w:before="156" w:after="156" w:line="400" w:lineRule="atLeast"/>
        <w:ind w:left="0"/>
        <w:contextualSpacing/>
        <w:rPr>
          <w:rFonts w:ascii="宋体" w:hAnsi="宋体" w:cs="宋体"/>
          <w:lang w:val="zh-CN"/>
        </w:rPr>
      </w:pPr>
      <w:r>
        <w:rPr>
          <w:rFonts w:hint="eastAsia" w:ascii="宋体" w:hAnsi="宋体" w:cs="宋体"/>
        </w:rPr>
        <w:t>播种前</w:t>
      </w:r>
      <w:r>
        <w:rPr>
          <w:rFonts w:hint="eastAsia" w:ascii="宋体" w:hAnsi="宋体" w:cs="宋体"/>
          <w:lang w:val="zh-CN"/>
        </w:rPr>
        <w:t>去除瘪粒、小粒、破损粒</w:t>
      </w:r>
      <w:r>
        <w:rPr>
          <w:rFonts w:hint="eastAsia" w:ascii="宋体" w:hAnsi="宋体" w:cs="宋体"/>
        </w:rPr>
        <w:t>及</w:t>
      </w:r>
      <w:r>
        <w:rPr>
          <w:rFonts w:hint="eastAsia" w:ascii="宋体" w:hAnsi="宋体" w:cs="宋体"/>
          <w:lang w:val="zh-CN"/>
        </w:rPr>
        <w:t>杂质，</w:t>
      </w:r>
      <w:r>
        <w:rPr>
          <w:rFonts w:hint="eastAsia" w:ascii="宋体" w:hAnsi="宋体" w:cs="宋体"/>
        </w:rPr>
        <w:t>在散射光干燥条件下</w:t>
      </w:r>
      <w:r>
        <w:rPr>
          <w:rFonts w:hint="eastAsia" w:ascii="宋体" w:hAnsi="宋体" w:cs="宋体"/>
          <w:lang w:val="zh-CN"/>
        </w:rPr>
        <w:t>晾晒2d。</w:t>
      </w:r>
      <w:r>
        <w:rPr>
          <w:rFonts w:hint="eastAsia" w:ascii="宋体" w:hAnsi="宋体" w:cs="宋体"/>
        </w:rPr>
        <w:t>育苗</w:t>
      </w:r>
      <w:r>
        <w:rPr>
          <w:rFonts w:hint="eastAsia" w:ascii="宋体" w:hAnsi="宋体" w:cs="宋体"/>
          <w:lang w:val="zh-CN"/>
        </w:rPr>
        <w:t>用种量</w:t>
      </w:r>
      <w:r>
        <w:rPr>
          <w:rFonts w:hint="eastAsia" w:ascii="宋体" w:hAnsi="宋体" w:cs="宋体"/>
        </w:rPr>
        <w:t>一般</w:t>
      </w:r>
      <w:r>
        <w:rPr>
          <w:rFonts w:hint="eastAsia" w:ascii="宋体" w:hAnsi="宋体" w:cs="宋体"/>
          <w:lang w:val="zh-CN"/>
        </w:rPr>
        <w:t>为</w:t>
      </w:r>
      <w:r>
        <w:rPr>
          <w:rFonts w:hint="eastAsia" w:ascii="宋体" w:hAnsi="宋体" w:cs="宋体"/>
        </w:rPr>
        <w:t>15</w:t>
      </w:r>
      <w:r>
        <w:rPr>
          <w:rFonts w:hint="eastAsia" w:ascii="宋体" w:hAnsi="宋体" w:cs="宋体"/>
          <w:lang w:val="zh-CN"/>
        </w:rPr>
        <w:t>0g</w:t>
      </w:r>
      <w:r>
        <w:rPr>
          <w:rFonts w:hint="eastAsia" w:ascii="宋体" w:hAnsi="宋体" w:cs="宋体"/>
        </w:rPr>
        <w:t>/亩</w:t>
      </w:r>
      <w:r>
        <w:rPr>
          <w:rFonts w:hint="eastAsia" w:ascii="宋体" w:hAnsi="宋体" w:cs="宋体"/>
          <w:lang w:val="zh-CN"/>
        </w:rPr>
        <w:t>～</w:t>
      </w:r>
      <w:r>
        <w:rPr>
          <w:rFonts w:hint="eastAsia" w:ascii="宋体" w:hAnsi="宋体" w:cs="宋体"/>
        </w:rPr>
        <w:t>300</w:t>
      </w:r>
      <w:r>
        <w:rPr>
          <w:rFonts w:hint="eastAsia" w:ascii="宋体" w:hAnsi="宋体" w:cs="宋体"/>
          <w:lang w:val="zh-CN"/>
        </w:rPr>
        <w:t>g</w:t>
      </w:r>
      <w:r>
        <w:rPr>
          <w:rFonts w:hint="eastAsia" w:ascii="宋体" w:hAnsi="宋体" w:cs="宋体"/>
        </w:rPr>
        <w:t>/亩</w:t>
      </w:r>
      <w:r>
        <w:rPr>
          <w:rFonts w:hint="eastAsia" w:ascii="宋体" w:hAnsi="宋体" w:cs="宋体"/>
          <w:lang w:val="zh-CN"/>
        </w:rPr>
        <w:t>。种子质量应符合GB</w:t>
      </w:r>
      <w:r>
        <w:rPr>
          <w:rFonts w:hint="eastAsia" w:ascii="宋体" w:hAnsi="宋体" w:cs="宋体"/>
        </w:rPr>
        <w:t xml:space="preserve"> </w:t>
      </w:r>
      <w:r>
        <w:rPr>
          <w:rFonts w:hint="eastAsia" w:ascii="宋体" w:hAnsi="宋体" w:cs="宋体"/>
          <w:lang w:val="zh-CN"/>
        </w:rPr>
        <w:t>16715.1</w:t>
      </w:r>
      <w:r>
        <w:rPr>
          <w:rFonts w:hint="eastAsia" w:ascii="宋体" w:hAnsi="宋体" w:cs="宋体"/>
        </w:rPr>
        <w:t>规定</w:t>
      </w:r>
      <w:r>
        <w:rPr>
          <w:rFonts w:hint="eastAsia" w:ascii="宋体" w:hAnsi="宋体" w:cs="宋体"/>
          <w:lang w:val="zh-CN"/>
        </w:rPr>
        <w:t>。</w:t>
      </w:r>
    </w:p>
    <w:p w14:paraId="2F48BEE5">
      <w:pPr>
        <w:pStyle w:val="146"/>
        <w:spacing w:before="156" w:after="156" w:line="400" w:lineRule="atLeast"/>
        <w:ind w:left="0" w:firstLine="0" w:firstLineChars="0"/>
        <w:contextualSpacing/>
        <w:rPr>
          <w:rFonts w:ascii="黑体" w:hAnsi="黑体" w:eastAsia="黑体" w:cs="黑体"/>
        </w:rPr>
      </w:pPr>
      <w:bookmarkStart w:id="33" w:name="_Toc493513238"/>
      <w:bookmarkStart w:id="34" w:name="_Toc493528156"/>
      <w:bookmarkStart w:id="35" w:name="_Toc493513123"/>
      <w:r>
        <w:rPr>
          <w:rFonts w:hint="eastAsia" w:ascii="黑体" w:hAnsi="黑体" w:eastAsia="黑体" w:cs="黑体"/>
        </w:rPr>
        <w:t>6.4 浸种催芽</w:t>
      </w:r>
      <w:bookmarkEnd w:id="33"/>
      <w:bookmarkEnd w:id="34"/>
      <w:bookmarkEnd w:id="35"/>
    </w:p>
    <w:p w14:paraId="65A7D7EF">
      <w:pPr>
        <w:pStyle w:val="146"/>
        <w:spacing w:before="156" w:after="156" w:line="400" w:lineRule="atLeast"/>
        <w:ind w:left="0"/>
        <w:contextualSpacing/>
        <w:rPr>
          <w:rFonts w:asciiTheme="minorEastAsia" w:hAnsiTheme="minorEastAsia" w:eastAsiaTheme="minorEastAsia" w:cstheme="minorEastAsia"/>
          <w:lang w:val="zh-CN"/>
        </w:rPr>
      </w:pPr>
      <w:r>
        <w:rPr>
          <w:rFonts w:hint="eastAsia" w:asciiTheme="minorEastAsia" w:hAnsiTheme="minorEastAsia" w:eastAsiaTheme="minorEastAsia" w:cstheme="minorEastAsia"/>
        </w:rPr>
        <w:t>将种子放入纱网袋中，放入</w:t>
      </w:r>
      <w:r>
        <w:rPr>
          <w:rFonts w:hint="eastAsia" w:asciiTheme="minorEastAsia" w:hAnsiTheme="minorEastAsia" w:eastAsiaTheme="minorEastAsia" w:cstheme="minorEastAsia"/>
          <w:lang w:val="zh-CN"/>
        </w:rPr>
        <w:t>5</w:t>
      </w:r>
      <w:r>
        <w:rPr>
          <w:rFonts w:hint="eastAsia" w:asciiTheme="minorEastAsia" w:hAnsiTheme="minorEastAsia" w:eastAsiaTheme="minorEastAsia" w:cstheme="minorEastAsia"/>
        </w:rPr>
        <w:t>0</w:t>
      </w:r>
      <w:r>
        <w:rPr>
          <w:rFonts w:hint="eastAsia" w:asciiTheme="minorEastAsia" w:hAnsiTheme="minorEastAsia" w:eastAsiaTheme="minorEastAsia" w:cstheme="minorEastAsia"/>
          <w:lang w:val="zh-CN"/>
        </w:rPr>
        <w:t>～55℃热水中</w:t>
      </w:r>
      <w:r>
        <w:rPr>
          <w:rFonts w:hint="eastAsia" w:asciiTheme="minorEastAsia" w:hAnsiTheme="minorEastAsia" w:eastAsiaTheme="minorEastAsia" w:cstheme="minorEastAsia"/>
        </w:rPr>
        <w:t>持续</w:t>
      </w:r>
      <w:r>
        <w:rPr>
          <w:rFonts w:hint="eastAsia" w:asciiTheme="minorEastAsia" w:hAnsiTheme="minorEastAsia" w:eastAsiaTheme="minorEastAsia" w:cstheme="minorEastAsia"/>
          <w:lang w:val="zh-CN"/>
        </w:rPr>
        <w:t>搅拌15min～20min，</w:t>
      </w:r>
      <w:r>
        <w:rPr>
          <w:rFonts w:hint="eastAsia" w:asciiTheme="minorEastAsia" w:hAnsiTheme="minorEastAsia" w:eastAsiaTheme="minorEastAsia" w:cstheme="minorEastAsia"/>
        </w:rPr>
        <w:t>后在30</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温</w:t>
      </w:r>
      <w:r>
        <w:rPr>
          <w:rFonts w:hint="eastAsia" w:asciiTheme="minorEastAsia" w:hAnsiTheme="minorEastAsia" w:eastAsiaTheme="minorEastAsia" w:cstheme="minorEastAsia"/>
          <w:lang w:val="zh-CN"/>
        </w:rPr>
        <w:t>水</w:t>
      </w:r>
      <w:r>
        <w:rPr>
          <w:rFonts w:hint="eastAsia" w:asciiTheme="minorEastAsia" w:hAnsiTheme="minorEastAsia" w:eastAsiaTheme="minorEastAsia" w:cstheme="minorEastAsia"/>
        </w:rPr>
        <w:t>中</w:t>
      </w:r>
      <w:r>
        <w:rPr>
          <w:rFonts w:hint="eastAsia" w:asciiTheme="minorEastAsia" w:hAnsiTheme="minorEastAsia" w:eastAsiaTheme="minorEastAsia" w:cstheme="minorEastAsia"/>
          <w:lang w:val="zh-CN"/>
        </w:rPr>
        <w:t>浸种</w:t>
      </w:r>
      <w:r>
        <w:rPr>
          <w:rFonts w:hint="eastAsia" w:asciiTheme="minorEastAsia" w:hAnsiTheme="minorEastAsia" w:eastAsiaTheme="minorEastAsia" w:cstheme="minorEastAsia"/>
        </w:rPr>
        <w:t>10</w:t>
      </w:r>
      <w:r>
        <w:rPr>
          <w:rFonts w:hint="eastAsia" w:asciiTheme="minorEastAsia" w:hAnsiTheme="minorEastAsia" w:eastAsiaTheme="minorEastAsia" w:cstheme="minorEastAsia"/>
          <w:lang w:val="zh-CN"/>
        </w:rPr>
        <w:t>h～</w:t>
      </w:r>
      <w:r>
        <w:rPr>
          <w:rFonts w:hint="eastAsia" w:asciiTheme="minorEastAsia" w:hAnsiTheme="minorEastAsia" w:eastAsiaTheme="minorEastAsia" w:cstheme="minorEastAsia"/>
        </w:rPr>
        <w:t>12</w:t>
      </w:r>
      <w:r>
        <w:rPr>
          <w:rFonts w:hint="eastAsia" w:asciiTheme="minorEastAsia" w:hAnsiTheme="minorEastAsia" w:eastAsiaTheme="minorEastAsia" w:cstheme="minorEastAsia"/>
          <w:lang w:val="zh-CN"/>
        </w:rPr>
        <w:t>h，洗净</w:t>
      </w:r>
      <w:r>
        <w:rPr>
          <w:rFonts w:hint="eastAsia" w:asciiTheme="minorEastAsia" w:hAnsiTheme="minorEastAsia" w:eastAsiaTheme="minorEastAsia" w:cstheme="minorEastAsia"/>
        </w:rPr>
        <w:t>种皮后</w:t>
      </w:r>
      <w:r>
        <w:rPr>
          <w:rFonts w:hint="eastAsia" w:asciiTheme="minorEastAsia" w:hAnsiTheme="minorEastAsia" w:eastAsiaTheme="minorEastAsia" w:cstheme="minorEastAsia"/>
          <w:lang w:val="zh-CN"/>
        </w:rPr>
        <w:t>在28～30℃</w:t>
      </w:r>
      <w:r>
        <w:rPr>
          <w:rFonts w:hint="eastAsia" w:asciiTheme="minorEastAsia" w:hAnsiTheme="minorEastAsia" w:eastAsiaTheme="minorEastAsia" w:cstheme="minorEastAsia"/>
        </w:rPr>
        <w:t>恒温环境下</w:t>
      </w:r>
      <w:r>
        <w:rPr>
          <w:rFonts w:hint="eastAsia" w:asciiTheme="minorEastAsia" w:hAnsiTheme="minorEastAsia" w:eastAsiaTheme="minorEastAsia" w:cstheme="minorEastAsia"/>
          <w:lang w:val="zh-CN"/>
        </w:rPr>
        <w:t>催芽</w:t>
      </w:r>
      <w:r>
        <w:rPr>
          <w:rFonts w:hint="eastAsia" w:asciiTheme="minorEastAsia" w:hAnsiTheme="minorEastAsia" w:eastAsiaTheme="minorEastAsia" w:cstheme="minorEastAsia"/>
        </w:rPr>
        <w:t>2d</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4d</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待</w:t>
      </w:r>
      <w:r>
        <w:rPr>
          <w:rFonts w:hint="eastAsia" w:asciiTheme="minorEastAsia" w:hAnsiTheme="minorEastAsia" w:eastAsiaTheme="minorEastAsia" w:cstheme="minorEastAsia"/>
          <w:lang w:val="zh-CN"/>
        </w:rPr>
        <w:t>70%种子露白时播种，</w:t>
      </w:r>
      <w:r>
        <w:rPr>
          <w:rFonts w:hint="eastAsia" w:asciiTheme="minorEastAsia" w:hAnsiTheme="minorEastAsia" w:eastAsiaTheme="minorEastAsia" w:cstheme="minorEastAsia"/>
        </w:rPr>
        <w:t>期</w:t>
      </w:r>
      <w:r>
        <w:rPr>
          <w:rFonts w:hint="eastAsia" w:asciiTheme="minorEastAsia" w:hAnsiTheme="minorEastAsia" w:eastAsiaTheme="minorEastAsia" w:cstheme="minorEastAsia"/>
          <w:lang w:val="zh-CN"/>
        </w:rPr>
        <w:t>间</w:t>
      </w:r>
      <w:r>
        <w:rPr>
          <w:rFonts w:hint="eastAsia" w:asciiTheme="minorEastAsia" w:hAnsiTheme="minorEastAsia" w:eastAsiaTheme="minorEastAsia" w:cstheme="minorEastAsia"/>
        </w:rPr>
        <w:t>用干净温水</w:t>
      </w:r>
      <w:r>
        <w:rPr>
          <w:rFonts w:hint="eastAsia" w:asciiTheme="minorEastAsia" w:hAnsiTheme="minorEastAsia" w:eastAsiaTheme="minorEastAsia" w:cstheme="minorEastAsia"/>
          <w:lang w:val="zh-CN"/>
        </w:rPr>
        <w:t>清洗</w:t>
      </w:r>
      <w:r>
        <w:rPr>
          <w:rFonts w:hint="eastAsia" w:asciiTheme="minorEastAsia" w:hAnsiTheme="minorEastAsia" w:eastAsiaTheme="minorEastAsia" w:cstheme="minorEastAsia"/>
        </w:rPr>
        <w:t>种子</w:t>
      </w:r>
      <w:r>
        <w:rPr>
          <w:rFonts w:hint="eastAsia" w:asciiTheme="minorEastAsia" w:hAnsiTheme="minorEastAsia" w:eastAsiaTheme="minorEastAsia" w:cstheme="minorEastAsia"/>
          <w:lang w:val="zh-CN"/>
        </w:rPr>
        <w:t>1～2次。</w:t>
      </w:r>
    </w:p>
    <w:p w14:paraId="022B4916">
      <w:pPr>
        <w:pStyle w:val="146"/>
        <w:spacing w:before="156" w:after="156" w:line="400" w:lineRule="atLeast"/>
        <w:ind w:left="0" w:firstLine="0" w:firstLineChars="0"/>
        <w:contextualSpacing/>
        <w:rPr>
          <w:rFonts w:ascii="黑体" w:hAnsi="黑体" w:eastAsia="黑体" w:cs="黑体"/>
        </w:rPr>
      </w:pPr>
      <w:bookmarkStart w:id="36" w:name="_Toc493513126"/>
      <w:bookmarkStart w:id="37" w:name="_Toc493528157"/>
      <w:bookmarkStart w:id="38" w:name="_Toc493513239"/>
      <w:r>
        <w:rPr>
          <w:rFonts w:hint="eastAsia" w:ascii="黑体" w:hAnsi="黑体" w:eastAsia="黑体" w:cs="黑体"/>
        </w:rPr>
        <w:t>6.5 播种</w:t>
      </w:r>
      <w:bookmarkEnd w:id="36"/>
      <w:bookmarkEnd w:id="37"/>
      <w:bookmarkEnd w:id="38"/>
    </w:p>
    <w:p w14:paraId="3D321A6C">
      <w:pPr>
        <w:pStyle w:val="146"/>
        <w:spacing w:before="156" w:after="156" w:line="400" w:lineRule="atLeast"/>
        <w:ind w:left="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穴</w:t>
      </w:r>
      <w:r>
        <w:rPr>
          <w:rFonts w:hint="eastAsia" w:asciiTheme="minorEastAsia" w:hAnsiTheme="minorEastAsia" w:eastAsiaTheme="minorEastAsia" w:cstheme="minorEastAsia"/>
          <w:lang w:val="zh-CN"/>
        </w:rPr>
        <w:t>盘</w:t>
      </w:r>
      <w:r>
        <w:rPr>
          <w:rFonts w:hint="eastAsia" w:asciiTheme="minorEastAsia" w:hAnsiTheme="minorEastAsia" w:eastAsiaTheme="minorEastAsia" w:cstheme="minorEastAsia"/>
        </w:rPr>
        <w:t>放苗床上</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按压打孔深度1cm</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1.5cm，</w:t>
      </w:r>
      <w:r>
        <w:rPr>
          <w:rFonts w:hint="eastAsia" w:asciiTheme="minorEastAsia" w:hAnsiTheme="minorEastAsia" w:eastAsiaTheme="minorEastAsia" w:cstheme="minorEastAsia"/>
          <w:lang w:val="zh-CN"/>
        </w:rPr>
        <w:t>每</w:t>
      </w:r>
      <w:r>
        <w:rPr>
          <w:rFonts w:hint="eastAsia" w:asciiTheme="minorEastAsia" w:hAnsiTheme="minorEastAsia" w:eastAsiaTheme="minorEastAsia" w:cstheme="minorEastAsia"/>
        </w:rPr>
        <w:t>穴</w:t>
      </w:r>
      <w:r>
        <w:rPr>
          <w:rFonts w:hint="eastAsia" w:asciiTheme="minorEastAsia" w:hAnsiTheme="minorEastAsia" w:eastAsiaTheme="minorEastAsia" w:cstheme="minorEastAsia"/>
          <w:lang w:val="zh-CN"/>
        </w:rPr>
        <w:t>播种</w:t>
      </w:r>
      <w:r>
        <w:rPr>
          <w:rFonts w:hint="eastAsia" w:asciiTheme="minorEastAsia" w:hAnsiTheme="minorEastAsia" w:eastAsiaTheme="minorEastAsia" w:cstheme="minorEastAsia"/>
        </w:rPr>
        <w:t>1</w:t>
      </w:r>
      <w:r>
        <w:rPr>
          <w:rFonts w:hint="eastAsia" w:asciiTheme="minorEastAsia" w:hAnsiTheme="minorEastAsia" w:eastAsiaTheme="minorEastAsia" w:cstheme="minorEastAsia"/>
          <w:lang w:val="zh-CN"/>
        </w:rPr>
        <w:t>粒，将种子平放，芽尖向下，再覆盖</w:t>
      </w:r>
      <w:r>
        <w:rPr>
          <w:rFonts w:hint="eastAsia" w:asciiTheme="minorEastAsia" w:hAnsiTheme="minorEastAsia" w:eastAsiaTheme="minorEastAsia" w:cstheme="minorEastAsia"/>
        </w:rPr>
        <w:t>基质，刮平</w:t>
      </w:r>
      <w:r>
        <w:rPr>
          <w:rFonts w:hint="eastAsia" w:asciiTheme="minorEastAsia" w:hAnsiTheme="minorEastAsia" w:eastAsiaTheme="minorEastAsia" w:cstheme="minorEastAsia"/>
          <w:lang w:val="zh-CN"/>
        </w:rPr>
        <w:t>。播种后</w:t>
      </w:r>
      <w:r>
        <w:rPr>
          <w:rFonts w:hint="eastAsia" w:asciiTheme="minorEastAsia" w:hAnsiTheme="minorEastAsia" w:eastAsiaTheme="minorEastAsia" w:cstheme="minorEastAsia"/>
        </w:rPr>
        <w:t>苗床上要</w:t>
      </w:r>
      <w:r>
        <w:rPr>
          <w:rFonts w:hint="eastAsia" w:asciiTheme="minorEastAsia" w:hAnsiTheme="minorEastAsia" w:eastAsiaTheme="minorEastAsia" w:cstheme="minorEastAsia"/>
          <w:lang w:val="zh-CN"/>
        </w:rPr>
        <w:t>覆盖</w:t>
      </w:r>
      <w:r>
        <w:rPr>
          <w:rFonts w:hint="eastAsia" w:asciiTheme="minorEastAsia" w:hAnsiTheme="minorEastAsia" w:eastAsiaTheme="minorEastAsia" w:cstheme="minorEastAsia"/>
        </w:rPr>
        <w:t>地</w:t>
      </w:r>
      <w:r>
        <w:rPr>
          <w:rFonts w:hint="eastAsia" w:asciiTheme="minorEastAsia" w:hAnsiTheme="minorEastAsia" w:eastAsiaTheme="minorEastAsia" w:cstheme="minorEastAsia"/>
          <w:lang w:val="zh-CN"/>
        </w:rPr>
        <w:t>膜</w:t>
      </w:r>
      <w:r>
        <w:rPr>
          <w:rFonts w:hint="eastAsia" w:asciiTheme="minorEastAsia" w:hAnsiTheme="minorEastAsia" w:eastAsiaTheme="minorEastAsia" w:cstheme="minorEastAsia"/>
        </w:rPr>
        <w:t>保湿，根据育苗环境、季节选择搭小拱棚或覆盖遮阳网控温</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地膜选用应符合GB 13735的规定。</w:t>
      </w:r>
    </w:p>
    <w:p w14:paraId="1C45BCC3">
      <w:pPr>
        <w:pStyle w:val="146"/>
        <w:spacing w:before="156" w:after="156" w:line="400" w:lineRule="atLeast"/>
        <w:ind w:left="0" w:firstLine="0" w:firstLineChars="0"/>
        <w:contextualSpacing/>
        <w:rPr>
          <w:rFonts w:ascii="黑体" w:hAnsi="黑体" w:eastAsia="黑体" w:cs="黑体"/>
        </w:rPr>
      </w:pPr>
      <w:bookmarkStart w:id="39" w:name="_Toc493513240"/>
      <w:bookmarkStart w:id="40" w:name="_Toc493528158"/>
      <w:bookmarkStart w:id="41" w:name="_Toc493513127"/>
      <w:r>
        <w:rPr>
          <w:rFonts w:hint="eastAsia" w:ascii="黑体" w:hAnsi="黑体" w:eastAsia="黑体" w:cs="黑体"/>
        </w:rPr>
        <w:t>6.6 苗期管理</w:t>
      </w:r>
      <w:bookmarkEnd w:id="39"/>
      <w:bookmarkEnd w:id="40"/>
      <w:bookmarkEnd w:id="41"/>
    </w:p>
    <w:p w14:paraId="3903AA32">
      <w:pPr>
        <w:pStyle w:val="146"/>
        <w:spacing w:before="156" w:after="156" w:line="400" w:lineRule="atLeast"/>
        <w:ind w:left="0" w:firstLine="0" w:firstLineChars="0"/>
        <w:contextualSpacing/>
        <w:rPr>
          <w:rFonts w:ascii="黑体" w:hAnsi="黑体" w:eastAsia="黑体" w:cs="黑体"/>
        </w:rPr>
      </w:pPr>
      <w:r>
        <w:rPr>
          <w:rFonts w:hint="eastAsia" w:ascii="黑体" w:hAnsi="黑体" w:eastAsia="黑体" w:cs="黑体"/>
        </w:rPr>
        <w:t>6.6.1 温度</w:t>
      </w:r>
    </w:p>
    <w:p w14:paraId="353D9E0F">
      <w:pPr>
        <w:pStyle w:val="146"/>
        <w:spacing w:before="156" w:after="156" w:line="400" w:lineRule="atLeast"/>
        <w:ind w:left="0"/>
        <w:contextualSpacing/>
        <w:rPr>
          <w:rFonts w:asciiTheme="minorEastAsia" w:hAnsiTheme="minorEastAsia" w:eastAsiaTheme="minorEastAsia" w:cstheme="minorEastAsia"/>
          <w:lang w:val="zh-CN"/>
        </w:rPr>
      </w:pPr>
      <w:r>
        <w:rPr>
          <w:rFonts w:hint="eastAsia" w:asciiTheme="minorEastAsia" w:hAnsiTheme="minorEastAsia" w:eastAsiaTheme="minorEastAsia" w:cstheme="minorEastAsia"/>
        </w:rPr>
        <w:t>春季丝瓜出苗前温度控制在白天28</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30</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晚上20</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25</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待70%以上种子</w:t>
      </w:r>
      <w:r>
        <w:rPr>
          <w:rFonts w:hint="eastAsia" w:asciiTheme="minorEastAsia" w:hAnsiTheme="minorEastAsia" w:eastAsiaTheme="minorEastAsia" w:cstheme="minorEastAsia"/>
          <w:lang w:val="zh-CN"/>
        </w:rPr>
        <w:t>出苗后</w:t>
      </w:r>
      <w:r>
        <w:rPr>
          <w:rFonts w:hint="eastAsia" w:asciiTheme="minorEastAsia" w:hAnsiTheme="minorEastAsia" w:eastAsiaTheme="minorEastAsia" w:cstheme="minorEastAsia"/>
        </w:rPr>
        <w:t>及时</w:t>
      </w:r>
      <w:r>
        <w:rPr>
          <w:rFonts w:hint="eastAsia" w:asciiTheme="minorEastAsia" w:hAnsiTheme="minorEastAsia" w:eastAsiaTheme="minorEastAsia" w:cstheme="minorEastAsia"/>
          <w:lang w:val="zh-CN"/>
        </w:rPr>
        <w:t>揭膜，</w:t>
      </w:r>
      <w:r>
        <w:rPr>
          <w:rFonts w:hint="eastAsia" w:asciiTheme="minorEastAsia" w:hAnsiTheme="minorEastAsia" w:eastAsiaTheme="minorEastAsia" w:cstheme="minorEastAsia"/>
        </w:rPr>
        <w:t>温度控制在白天25</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28</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晚上15</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18</w:t>
      </w:r>
      <w:r>
        <w:rPr>
          <w:rFonts w:hint="eastAsia" w:asciiTheme="minorEastAsia" w:hAnsiTheme="minorEastAsia" w:eastAsiaTheme="minorEastAsia" w:cstheme="minorEastAsia"/>
          <w:lang w:val="zh-CN"/>
        </w:rPr>
        <w:t>℃。定植前</w:t>
      </w:r>
      <w:r>
        <w:rPr>
          <w:rFonts w:hint="eastAsia" w:asciiTheme="minorEastAsia" w:hAnsiTheme="minorEastAsia" w:eastAsiaTheme="minorEastAsia" w:cstheme="minorEastAsia"/>
        </w:rPr>
        <w:t>5d</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7d进行低温炼苗</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温度控制在</w:t>
      </w:r>
      <w:r>
        <w:rPr>
          <w:rFonts w:hint="eastAsia" w:asciiTheme="minorEastAsia" w:hAnsiTheme="minorEastAsia" w:eastAsiaTheme="minorEastAsia" w:cstheme="minorEastAsia"/>
          <w:lang w:val="zh-CN"/>
        </w:rPr>
        <w:t>白天</w:t>
      </w:r>
      <w:r>
        <w:rPr>
          <w:rFonts w:hint="eastAsia" w:asciiTheme="minorEastAsia" w:hAnsiTheme="minorEastAsia" w:eastAsiaTheme="minorEastAsia" w:cstheme="minorEastAsia"/>
        </w:rPr>
        <w:t>20</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23</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晚上12</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15</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 xml:space="preserve">夏秋育苗期间注意控温，防止徒长。 </w:t>
      </w:r>
    </w:p>
    <w:p w14:paraId="43D85133">
      <w:pPr>
        <w:pStyle w:val="146"/>
        <w:spacing w:before="156" w:after="156" w:line="400" w:lineRule="atLeast"/>
        <w:ind w:left="0" w:firstLine="0" w:firstLineChars="0"/>
        <w:contextualSpacing/>
        <w:rPr>
          <w:rFonts w:ascii="黑体" w:hAnsi="黑体" w:eastAsia="黑体" w:cs="黑体"/>
        </w:rPr>
      </w:pPr>
      <w:r>
        <w:rPr>
          <w:rFonts w:hint="eastAsia" w:ascii="黑体" w:hAnsi="黑体" w:eastAsia="黑体" w:cs="黑体"/>
        </w:rPr>
        <w:t>6.6.2 水肥</w:t>
      </w:r>
    </w:p>
    <w:p w14:paraId="1009A56D">
      <w:pPr>
        <w:pStyle w:val="146"/>
        <w:spacing w:before="156" w:after="156" w:line="400" w:lineRule="atLeast"/>
        <w:ind w:left="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苗期可喷施氨基酸水溶肥、0.2%磷酸二氢钾叶面肥1</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2次，幼苗真叶长出后可用平衡水溶肥（N-P</w:t>
      </w:r>
      <w:r>
        <w:rPr>
          <w:rFonts w:hint="eastAsia" w:asciiTheme="minorEastAsia" w:hAnsiTheme="minorEastAsia" w:eastAsiaTheme="minorEastAsia" w:cstheme="minorEastAsia"/>
          <w:vertAlign w:val="subscript"/>
        </w:rPr>
        <w:t>2</w:t>
      </w:r>
      <w:r>
        <w:rPr>
          <w:rFonts w:hint="eastAsia" w:asciiTheme="minorEastAsia" w:hAnsiTheme="minorEastAsia" w:eastAsiaTheme="minorEastAsia" w:cstheme="minorEastAsia"/>
        </w:rPr>
        <w:t>O</w:t>
      </w:r>
      <w:r>
        <w:rPr>
          <w:rFonts w:hint="eastAsia" w:asciiTheme="minorEastAsia" w:hAnsiTheme="minorEastAsia" w:eastAsiaTheme="minorEastAsia" w:cstheme="minorEastAsia"/>
          <w:vertAlign w:val="subscript"/>
        </w:rPr>
        <w:t>5</w:t>
      </w:r>
      <w:r>
        <w:rPr>
          <w:rFonts w:hint="eastAsia" w:asciiTheme="minorEastAsia" w:hAnsiTheme="minorEastAsia" w:eastAsiaTheme="minorEastAsia" w:cstheme="minorEastAsia"/>
        </w:rPr>
        <w:t>-K</w:t>
      </w:r>
      <w:r>
        <w:rPr>
          <w:rFonts w:hint="eastAsia" w:asciiTheme="minorEastAsia" w:hAnsiTheme="minorEastAsia" w:eastAsiaTheme="minorEastAsia" w:cstheme="minorEastAsia"/>
          <w:vertAlign w:val="subscript"/>
        </w:rPr>
        <w:t>2</w:t>
      </w:r>
      <w:r>
        <w:rPr>
          <w:rFonts w:hint="eastAsia" w:asciiTheme="minorEastAsia" w:hAnsiTheme="minorEastAsia" w:eastAsiaTheme="minorEastAsia" w:cstheme="minorEastAsia"/>
        </w:rPr>
        <w:t>O为20-20-20）800</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1000倍液浇施1</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2次。基质湿度控制在60%</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70%，保持见干见湿。肥料使用应符合</w:t>
      </w:r>
      <w:r>
        <w:rPr>
          <w:rFonts w:hint="eastAsia" w:asciiTheme="minorEastAsia" w:hAnsiTheme="minorEastAsia" w:eastAsiaTheme="minorEastAsia" w:cstheme="minorEastAsia"/>
          <w:lang w:val="zh-CN"/>
        </w:rPr>
        <w:t>NY/T</w:t>
      </w:r>
      <w:r>
        <w:rPr>
          <w:rFonts w:hint="eastAsia" w:asciiTheme="minorEastAsia" w:hAnsiTheme="minorEastAsia" w:eastAsiaTheme="minorEastAsia" w:cstheme="minorEastAsia"/>
        </w:rPr>
        <w:t xml:space="preserve"> </w:t>
      </w:r>
      <w:r>
        <w:rPr>
          <w:rFonts w:hint="eastAsia" w:asciiTheme="minorEastAsia" w:hAnsiTheme="minorEastAsia" w:eastAsiaTheme="minorEastAsia" w:cstheme="minorEastAsia"/>
          <w:lang w:val="zh-CN"/>
        </w:rPr>
        <w:t>394的</w:t>
      </w:r>
      <w:r>
        <w:rPr>
          <w:rFonts w:hint="eastAsia" w:asciiTheme="minorEastAsia" w:hAnsiTheme="minorEastAsia" w:eastAsiaTheme="minorEastAsia" w:cstheme="minorEastAsia"/>
        </w:rPr>
        <w:t>规定。</w:t>
      </w:r>
    </w:p>
    <w:p w14:paraId="35D995B0">
      <w:pPr>
        <w:pStyle w:val="146"/>
        <w:spacing w:before="156" w:after="156" w:line="400" w:lineRule="atLeast"/>
        <w:ind w:left="0" w:firstLine="0" w:firstLineChars="0"/>
        <w:contextualSpacing/>
        <w:rPr>
          <w:rFonts w:ascii="黑体" w:hAnsi="黑体" w:eastAsia="黑体" w:cs="黑体"/>
        </w:rPr>
      </w:pPr>
      <w:bookmarkStart w:id="42" w:name="_Toc493528160"/>
      <w:bookmarkStart w:id="43" w:name="_Toc493513242"/>
      <w:bookmarkStart w:id="44" w:name="_Toc493513132"/>
      <w:r>
        <w:rPr>
          <w:rFonts w:hint="eastAsia" w:ascii="黑体" w:hAnsi="黑体" w:eastAsia="黑体" w:cs="黑体"/>
        </w:rPr>
        <w:t>6.6.3</w:t>
      </w:r>
      <w:bookmarkEnd w:id="42"/>
      <w:bookmarkEnd w:id="43"/>
      <w:bookmarkEnd w:id="44"/>
      <w:r>
        <w:rPr>
          <w:rFonts w:hint="eastAsia" w:ascii="黑体" w:hAnsi="黑体" w:eastAsia="黑体" w:cs="黑体"/>
        </w:rPr>
        <w:t xml:space="preserve"> 光照</w:t>
      </w:r>
    </w:p>
    <w:p w14:paraId="26F93839">
      <w:pPr>
        <w:pStyle w:val="146"/>
        <w:spacing w:before="156" w:after="156" w:line="400" w:lineRule="atLeast"/>
        <w:ind w:left="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 xml:space="preserve">春季幼苗子叶展平后在保证苗床温度的前提下，尽可能延长光照时间；连阴雨天气要补照。夏秋育苗阳光强烈时要遮阴。 </w:t>
      </w:r>
    </w:p>
    <w:p w14:paraId="5D940FD8">
      <w:pPr>
        <w:pStyle w:val="146"/>
        <w:spacing w:before="156" w:after="156" w:line="400" w:lineRule="atLeast"/>
        <w:ind w:left="0" w:firstLine="0" w:firstLineChars="0"/>
        <w:contextualSpacing/>
        <w:rPr>
          <w:rFonts w:ascii="黑体" w:hAnsi="黑体" w:eastAsia="黑体" w:cs="黑体"/>
        </w:rPr>
      </w:pPr>
      <w:r>
        <w:rPr>
          <w:rFonts w:hint="eastAsia" w:ascii="黑体" w:hAnsi="黑体" w:eastAsia="黑体" w:cs="黑体"/>
        </w:rPr>
        <w:t>6.6.4 成苗标准</w:t>
      </w:r>
    </w:p>
    <w:p w14:paraId="6C383237">
      <w:pPr>
        <w:pStyle w:val="146"/>
        <w:spacing w:before="156" w:after="156" w:line="400" w:lineRule="atLeast"/>
        <w:ind w:left="0"/>
        <w:contextualSpacing/>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一般</w:t>
      </w:r>
      <w:r>
        <w:rPr>
          <w:rFonts w:hint="eastAsia" w:asciiTheme="minorEastAsia" w:hAnsiTheme="minorEastAsia" w:eastAsiaTheme="minorEastAsia" w:cstheme="minorEastAsia"/>
          <w:color w:val="000000" w:themeColor="text1"/>
          <w:lang w:val="zh-CN"/>
          <w14:textFill>
            <w14:solidFill>
              <w14:schemeClr w14:val="tx1"/>
            </w14:solidFill>
          </w14:textFill>
        </w:rPr>
        <w:t>春季苗龄</w:t>
      </w:r>
      <w:r>
        <w:rPr>
          <w:rFonts w:hint="eastAsia" w:asciiTheme="minorEastAsia" w:hAnsiTheme="minorEastAsia" w:eastAsiaTheme="minorEastAsia" w:cstheme="minorEastAsia"/>
          <w:color w:val="000000" w:themeColor="text1"/>
          <w14:textFill>
            <w14:solidFill>
              <w14:schemeClr w14:val="tx1"/>
            </w14:solidFill>
          </w14:textFill>
        </w:rPr>
        <w:t>30d</w:t>
      </w:r>
      <w:r>
        <w:rPr>
          <w:rFonts w:hint="eastAsia" w:asciiTheme="minorEastAsia" w:hAnsiTheme="minorEastAsia" w:eastAsiaTheme="minorEastAsia" w:cstheme="minorEastAsia"/>
          <w:color w:val="000000" w:themeColor="text1"/>
          <w:lang w:val="zh-CN"/>
          <w14:textFill>
            <w14:solidFill>
              <w14:schemeClr w14:val="tx1"/>
            </w14:solidFill>
          </w14:textFill>
        </w:rPr>
        <w:t>～</w:t>
      </w:r>
      <w:r>
        <w:rPr>
          <w:rFonts w:hint="eastAsia" w:asciiTheme="minorEastAsia" w:hAnsiTheme="minorEastAsia" w:eastAsiaTheme="minorEastAsia" w:cstheme="minorEastAsia"/>
          <w:color w:val="000000" w:themeColor="text1"/>
          <w14:textFill>
            <w14:solidFill>
              <w14:schemeClr w14:val="tx1"/>
            </w14:solidFill>
          </w14:textFill>
        </w:rPr>
        <w:t>40d，夏秋季苗龄15d</w:t>
      </w:r>
      <w:r>
        <w:rPr>
          <w:rFonts w:hint="eastAsia" w:asciiTheme="minorEastAsia" w:hAnsiTheme="minorEastAsia" w:eastAsiaTheme="minorEastAsia" w:cstheme="minorEastAsia"/>
          <w:color w:val="000000" w:themeColor="text1"/>
          <w:lang w:val="zh-CN"/>
          <w14:textFill>
            <w14:solidFill>
              <w14:schemeClr w14:val="tx1"/>
            </w14:solidFill>
          </w14:textFill>
        </w:rPr>
        <w:t>～</w:t>
      </w:r>
      <w:r>
        <w:rPr>
          <w:rFonts w:hint="eastAsia" w:asciiTheme="minorEastAsia" w:hAnsiTheme="minorEastAsia" w:eastAsiaTheme="minorEastAsia" w:cstheme="minorEastAsia"/>
          <w:color w:val="000000" w:themeColor="text1"/>
          <w14:textFill>
            <w14:solidFill>
              <w14:schemeClr w14:val="tx1"/>
            </w14:solidFill>
          </w14:textFill>
        </w:rPr>
        <w:t>20d。株高10cm左右，2叶1心</w:t>
      </w:r>
      <w:r>
        <w:rPr>
          <w:rFonts w:hint="eastAsia" w:asciiTheme="minorEastAsia" w:hAnsiTheme="minorEastAsia" w:eastAsiaTheme="minorEastAsia" w:cstheme="minorEastAsia"/>
          <w:color w:val="000000" w:themeColor="text1"/>
          <w:lang w:val="zh-CN"/>
          <w14:textFill>
            <w14:solidFill>
              <w14:schemeClr w14:val="tx1"/>
            </w14:solidFill>
          </w14:textFill>
        </w:rPr>
        <w:t>～</w:t>
      </w:r>
      <w:r>
        <w:rPr>
          <w:rFonts w:hint="eastAsia" w:asciiTheme="minorEastAsia" w:hAnsiTheme="minorEastAsia" w:eastAsiaTheme="minorEastAsia" w:cstheme="minorEastAsia"/>
          <w:color w:val="000000" w:themeColor="text1"/>
          <w14:textFill>
            <w14:solidFill>
              <w14:schemeClr w14:val="tx1"/>
            </w14:solidFill>
          </w14:textFill>
        </w:rPr>
        <w:t>3叶1心</w:t>
      </w:r>
      <w:r>
        <w:rPr>
          <w:rFonts w:hint="eastAsia" w:asciiTheme="minorEastAsia" w:hAnsiTheme="minorEastAsia" w:eastAsiaTheme="minorEastAsia" w:cstheme="minorEastAsia"/>
          <w:color w:val="000000" w:themeColor="text1"/>
          <w:lang w:val="zh-CN"/>
          <w14:textFill>
            <w14:solidFill>
              <w14:schemeClr w14:val="tx1"/>
            </w14:solidFill>
          </w14:textFill>
        </w:rPr>
        <w:t>，</w:t>
      </w:r>
      <w:r>
        <w:rPr>
          <w:rFonts w:hint="eastAsia" w:asciiTheme="minorEastAsia" w:hAnsiTheme="minorEastAsia" w:eastAsiaTheme="minorEastAsia" w:cstheme="minorEastAsia"/>
          <w:color w:val="000000" w:themeColor="text1"/>
          <w14:textFill>
            <w14:solidFill>
              <w14:schemeClr w14:val="tx1"/>
            </w14:solidFill>
          </w14:textFill>
        </w:rPr>
        <w:t>植株健壮，子叶完整，叶色浓绿，根系发达，无病虫害。</w:t>
      </w:r>
    </w:p>
    <w:p w14:paraId="2CF3555F">
      <w:pPr>
        <w:pStyle w:val="2"/>
      </w:pPr>
      <w:bookmarkStart w:id="45" w:name="_Toc493513243"/>
      <w:bookmarkStart w:id="46" w:name="_Toc493528161"/>
      <w:bookmarkStart w:id="47" w:name="_Toc493512009"/>
      <w:bookmarkStart w:id="48" w:name="_Toc493513133"/>
      <w:r>
        <w:rPr>
          <w:rFonts w:hint="eastAsia"/>
        </w:rPr>
        <w:t>7 整地</w:t>
      </w:r>
      <w:bookmarkEnd w:id="45"/>
      <w:bookmarkEnd w:id="46"/>
      <w:bookmarkEnd w:id="47"/>
      <w:bookmarkEnd w:id="48"/>
      <w:r>
        <w:rPr>
          <w:rFonts w:hint="eastAsia"/>
        </w:rPr>
        <w:t>起垄</w:t>
      </w:r>
    </w:p>
    <w:p w14:paraId="42164E5F">
      <w:pPr>
        <w:pStyle w:val="146"/>
        <w:spacing w:before="156" w:after="156" w:line="400" w:lineRule="atLeast"/>
        <w:ind w:left="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基肥提倡使用商品有机肥</w:t>
      </w:r>
      <w:r>
        <w:rPr>
          <w:rFonts w:hint="eastAsia" w:asciiTheme="minorEastAsia" w:hAnsiTheme="minorEastAsia" w:eastAsiaTheme="minorEastAsia" w:cstheme="minorEastAsia"/>
          <w:color w:val="000000" w:themeColor="text1"/>
          <w14:textFill>
            <w14:solidFill>
              <w14:schemeClr w14:val="tx1"/>
            </w14:solidFill>
          </w14:textFill>
        </w:rPr>
        <w:t>，优选生物有机肥</w:t>
      </w:r>
      <w:r>
        <w:rPr>
          <w:rFonts w:hint="eastAsia" w:asciiTheme="minorEastAsia" w:hAnsiTheme="minorEastAsia" w:eastAsiaTheme="minorEastAsia" w:cstheme="minorEastAsia"/>
        </w:rPr>
        <w:t>。田块翻耕，在预备定植丝瓜处挖50cm深沟集中施入</w:t>
      </w:r>
      <w:r>
        <w:rPr>
          <w:rFonts w:hint="eastAsia" w:asciiTheme="minorEastAsia" w:hAnsiTheme="minorEastAsia" w:eastAsiaTheme="minorEastAsia" w:cstheme="minorEastAsia"/>
          <w:lang w:val="zh-CN"/>
        </w:rPr>
        <w:t>腐熟</w:t>
      </w:r>
      <w:r>
        <w:rPr>
          <w:rFonts w:hint="eastAsia" w:asciiTheme="minorEastAsia" w:hAnsiTheme="minorEastAsia" w:eastAsiaTheme="minorEastAsia" w:cstheme="minorEastAsia"/>
        </w:rPr>
        <w:t>农家</w:t>
      </w:r>
      <w:r>
        <w:rPr>
          <w:rFonts w:hint="eastAsia" w:asciiTheme="minorEastAsia" w:hAnsiTheme="minorEastAsia" w:eastAsiaTheme="minorEastAsia" w:cstheme="minorEastAsia"/>
          <w:lang w:val="zh-CN"/>
        </w:rPr>
        <w:t>肥</w:t>
      </w:r>
      <w:r>
        <w:rPr>
          <w:rFonts w:hint="eastAsia" w:asciiTheme="minorEastAsia" w:hAnsiTheme="minorEastAsia" w:eastAsiaTheme="minorEastAsia" w:cstheme="minorEastAsia"/>
        </w:rPr>
        <w:t>1500kg/亩</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2000kg/亩及45%</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N-P2O5-K2O为15-15-15</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15kg/亩</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20kg/亩的复合肥后起垄</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垄</w:t>
      </w:r>
      <w:r>
        <w:rPr>
          <w:rFonts w:hint="eastAsia" w:asciiTheme="minorEastAsia" w:hAnsiTheme="minorEastAsia" w:eastAsiaTheme="minorEastAsia" w:cstheme="minorEastAsia"/>
          <w:lang w:val="zh-CN"/>
        </w:rPr>
        <w:t>宽</w:t>
      </w:r>
      <w:r>
        <w:rPr>
          <w:rFonts w:hint="eastAsia" w:asciiTheme="minorEastAsia" w:hAnsiTheme="minorEastAsia" w:eastAsiaTheme="minorEastAsia" w:cstheme="minorEastAsia"/>
        </w:rPr>
        <w:t>60cm</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70cm</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垄高15cm</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20cm</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垄间距以搭架方式而定。每垄</w:t>
      </w:r>
      <w:r>
        <w:rPr>
          <w:rFonts w:hint="eastAsia" w:asciiTheme="minorEastAsia" w:hAnsiTheme="minorEastAsia" w:eastAsiaTheme="minorEastAsia" w:cstheme="minorEastAsia"/>
          <w:lang w:val="zh-CN"/>
        </w:rPr>
        <w:t>布置</w:t>
      </w:r>
      <w:r>
        <w:rPr>
          <w:rFonts w:hint="eastAsia" w:asciiTheme="minorEastAsia" w:hAnsiTheme="minorEastAsia" w:eastAsiaTheme="minorEastAsia" w:cstheme="minorEastAsia"/>
        </w:rPr>
        <w:t>一根5孔微喷</w:t>
      </w:r>
      <w:r>
        <w:rPr>
          <w:rFonts w:hint="eastAsia" w:asciiTheme="minorEastAsia" w:hAnsiTheme="minorEastAsia" w:eastAsiaTheme="minorEastAsia" w:cstheme="minorEastAsia"/>
          <w:lang w:val="zh-CN"/>
        </w:rPr>
        <w:t>灌带，</w:t>
      </w:r>
      <w:r>
        <w:rPr>
          <w:rFonts w:hint="eastAsia" w:asciiTheme="minorEastAsia" w:hAnsiTheme="minorEastAsia" w:eastAsiaTheme="minorEastAsia" w:cstheme="minorEastAsia"/>
        </w:rPr>
        <w:t>并配置水肥一体化设备。垄上</w:t>
      </w:r>
      <w:r>
        <w:rPr>
          <w:rFonts w:hint="eastAsia" w:asciiTheme="minorEastAsia" w:hAnsiTheme="minorEastAsia" w:eastAsiaTheme="minorEastAsia" w:cstheme="minorEastAsia"/>
          <w:lang w:val="zh-CN"/>
        </w:rPr>
        <w:t>覆盖</w:t>
      </w:r>
      <w:r>
        <w:rPr>
          <w:rFonts w:hint="eastAsia" w:asciiTheme="minorEastAsia" w:hAnsiTheme="minorEastAsia" w:eastAsiaTheme="minorEastAsia" w:cstheme="minorEastAsia"/>
        </w:rPr>
        <w:t>黑色地膜或银黑双色</w:t>
      </w:r>
      <w:r>
        <w:rPr>
          <w:rFonts w:hint="eastAsia" w:asciiTheme="minorEastAsia" w:hAnsiTheme="minorEastAsia" w:eastAsiaTheme="minorEastAsia" w:cstheme="minorEastAsia"/>
          <w:lang w:val="zh-CN"/>
        </w:rPr>
        <w:t>地膜，</w:t>
      </w:r>
      <w:r>
        <w:rPr>
          <w:rFonts w:hint="eastAsia" w:asciiTheme="minorEastAsia" w:hAnsiTheme="minorEastAsia" w:eastAsiaTheme="minorEastAsia" w:cstheme="minorEastAsia"/>
        </w:rPr>
        <w:t>优选生物降解地膜。</w:t>
      </w:r>
      <w:r>
        <w:rPr>
          <w:rFonts w:hint="eastAsia" w:asciiTheme="minorEastAsia" w:hAnsiTheme="minorEastAsia" w:eastAsiaTheme="minorEastAsia" w:cstheme="minorEastAsia"/>
          <w:lang w:val="zh-CN"/>
        </w:rPr>
        <w:t>肥料使用应符合NY/T</w:t>
      </w:r>
      <w:r>
        <w:rPr>
          <w:rFonts w:hint="eastAsia" w:asciiTheme="minorEastAsia" w:hAnsiTheme="minorEastAsia" w:eastAsiaTheme="minorEastAsia" w:cstheme="minorEastAsia"/>
        </w:rPr>
        <w:t xml:space="preserve"> </w:t>
      </w:r>
      <w:r>
        <w:rPr>
          <w:rFonts w:hint="eastAsia" w:asciiTheme="minorEastAsia" w:hAnsiTheme="minorEastAsia" w:eastAsiaTheme="minorEastAsia" w:cstheme="minorEastAsia"/>
          <w:lang w:val="zh-CN"/>
        </w:rPr>
        <w:t>39</w:t>
      </w:r>
      <w:r>
        <w:rPr>
          <w:rFonts w:hint="eastAsia" w:asciiTheme="minorEastAsia" w:hAnsiTheme="minorEastAsia" w:eastAsiaTheme="minorEastAsia" w:cstheme="minorEastAsia"/>
        </w:rPr>
        <w:t>4</w:t>
      </w:r>
      <w:r>
        <w:rPr>
          <w:rFonts w:hint="eastAsia" w:asciiTheme="minorEastAsia" w:hAnsiTheme="minorEastAsia" w:eastAsiaTheme="minorEastAsia" w:cstheme="minorEastAsia"/>
          <w:lang w:val="zh-CN"/>
        </w:rPr>
        <w:t>的规定，</w:t>
      </w:r>
      <w:r>
        <w:rPr>
          <w:rFonts w:hint="eastAsia" w:asciiTheme="minorEastAsia" w:hAnsiTheme="minorEastAsia" w:eastAsiaTheme="minorEastAsia" w:cstheme="minorEastAsia"/>
        </w:rPr>
        <w:t>水肥一体化设备应符合NY/T 2624的规定，地膜选用应符合GB 13735的规定。</w:t>
      </w:r>
    </w:p>
    <w:p w14:paraId="3D835A87">
      <w:pPr>
        <w:pStyle w:val="2"/>
      </w:pPr>
      <w:bookmarkStart w:id="49" w:name="_Toc493512010"/>
      <w:bookmarkStart w:id="50" w:name="_Toc493513137"/>
      <w:bookmarkStart w:id="51" w:name="_Toc493513247"/>
      <w:bookmarkStart w:id="52" w:name="_Toc493528165"/>
      <w:r>
        <w:rPr>
          <w:rFonts w:hint="eastAsia"/>
        </w:rPr>
        <w:t>8 定植</w:t>
      </w:r>
      <w:bookmarkEnd w:id="49"/>
      <w:bookmarkEnd w:id="50"/>
      <w:bookmarkEnd w:id="51"/>
      <w:bookmarkEnd w:id="52"/>
    </w:p>
    <w:p w14:paraId="3BA8BEB8">
      <w:pPr>
        <w:pStyle w:val="146"/>
        <w:spacing w:before="156" w:after="156" w:line="400" w:lineRule="atLeast"/>
        <w:ind w:left="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定植一般在10cm</w:t>
      </w:r>
      <w:r>
        <w:rPr>
          <w:rFonts w:hint="eastAsia" w:asciiTheme="minorEastAsia" w:hAnsiTheme="minorEastAsia" w:eastAsiaTheme="minorEastAsia" w:cstheme="minorEastAsia"/>
          <w:lang w:val="zh-CN"/>
        </w:rPr>
        <w:t>地温稳定在</w:t>
      </w:r>
      <w:r>
        <w:rPr>
          <w:rFonts w:hint="eastAsia" w:asciiTheme="minorEastAsia" w:hAnsiTheme="minorEastAsia" w:eastAsiaTheme="minorEastAsia" w:cstheme="minorEastAsia"/>
        </w:rPr>
        <w:t>12</w:t>
      </w:r>
      <w:r>
        <w:rPr>
          <w:rFonts w:hint="eastAsia" w:asciiTheme="minorEastAsia" w:hAnsiTheme="minorEastAsia" w:eastAsiaTheme="minorEastAsia" w:cstheme="minorEastAsia"/>
          <w:lang w:val="zh-CN"/>
        </w:rPr>
        <w:t>℃以上时进行</w:t>
      </w:r>
      <w:r>
        <w:rPr>
          <w:rFonts w:hint="eastAsia" w:asciiTheme="minorEastAsia" w:hAnsiTheme="minorEastAsia" w:eastAsiaTheme="minorEastAsia" w:cstheme="minorEastAsia"/>
        </w:rPr>
        <w:t>。进行人字架、竹木小拱架栽培，</w:t>
      </w:r>
      <w:r>
        <w:rPr>
          <w:rFonts w:hint="eastAsia" w:asciiTheme="minorEastAsia" w:hAnsiTheme="minorEastAsia" w:eastAsiaTheme="minorEastAsia" w:cstheme="minorEastAsia"/>
          <w:lang w:val="zh-CN"/>
        </w:rPr>
        <w:t>每亩密度</w:t>
      </w:r>
      <w:r>
        <w:rPr>
          <w:rFonts w:hint="eastAsia" w:asciiTheme="minorEastAsia" w:hAnsiTheme="minorEastAsia" w:eastAsiaTheme="minorEastAsia" w:cstheme="minorEastAsia"/>
        </w:rPr>
        <w:t>一般</w:t>
      </w:r>
      <w:r>
        <w:rPr>
          <w:rFonts w:hint="eastAsia" w:asciiTheme="minorEastAsia" w:hAnsiTheme="minorEastAsia" w:eastAsiaTheme="minorEastAsia" w:cstheme="minorEastAsia"/>
          <w:lang w:val="zh-CN"/>
        </w:rPr>
        <w:t>为</w:t>
      </w:r>
      <w:r>
        <w:rPr>
          <w:rFonts w:hint="eastAsia" w:asciiTheme="minorEastAsia" w:hAnsiTheme="minorEastAsia" w:eastAsiaTheme="minorEastAsia" w:cstheme="minorEastAsia"/>
        </w:rPr>
        <w:t>800</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1800</w:t>
      </w:r>
      <w:r>
        <w:rPr>
          <w:rFonts w:hint="eastAsia" w:asciiTheme="minorEastAsia" w:hAnsiTheme="minorEastAsia" w:eastAsiaTheme="minorEastAsia" w:cstheme="minorEastAsia"/>
          <w:lang w:val="zh-CN"/>
        </w:rPr>
        <w:t>株，株距</w:t>
      </w:r>
      <w:r>
        <w:rPr>
          <w:rFonts w:hint="eastAsia" w:asciiTheme="minorEastAsia" w:hAnsiTheme="minorEastAsia" w:eastAsiaTheme="minorEastAsia" w:cstheme="minorEastAsia"/>
        </w:rPr>
        <w:t>50cm</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60cm</w:t>
      </w:r>
      <w:r>
        <w:rPr>
          <w:rFonts w:hint="eastAsia" w:asciiTheme="minorEastAsia" w:hAnsiTheme="minorEastAsia" w:eastAsiaTheme="minorEastAsia" w:cstheme="minorEastAsia"/>
          <w:lang w:val="zh-CN"/>
        </w:rPr>
        <w:t>，行距</w:t>
      </w:r>
      <w:r>
        <w:rPr>
          <w:rFonts w:hint="eastAsia" w:asciiTheme="minorEastAsia" w:hAnsiTheme="minorEastAsia" w:eastAsiaTheme="minorEastAsia" w:cstheme="minorEastAsia"/>
        </w:rPr>
        <w:t>以搭架方式而定；平架式栽培每亩密度一般为300</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600株，株距40cm</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50cm，行距3m</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5m。</w:t>
      </w:r>
      <w:r>
        <w:rPr>
          <w:rFonts w:hint="eastAsia" w:asciiTheme="minorEastAsia" w:hAnsiTheme="minorEastAsia" w:eastAsiaTheme="minorEastAsia" w:cstheme="minorEastAsia"/>
          <w:lang w:val="zh-CN"/>
        </w:rPr>
        <w:t>定植后</w:t>
      </w:r>
      <w:r>
        <w:rPr>
          <w:rFonts w:hint="eastAsia" w:asciiTheme="minorEastAsia" w:hAnsiTheme="minorEastAsia" w:eastAsiaTheme="minorEastAsia" w:cstheme="minorEastAsia"/>
        </w:rPr>
        <w:t>田间浇</w:t>
      </w:r>
      <w:r>
        <w:rPr>
          <w:rFonts w:hint="eastAsia" w:asciiTheme="minorEastAsia" w:hAnsiTheme="minorEastAsia" w:eastAsiaTheme="minorEastAsia" w:cstheme="minorEastAsia"/>
          <w:lang w:val="zh-CN"/>
        </w:rPr>
        <w:t>透水，</w:t>
      </w:r>
      <w:r>
        <w:rPr>
          <w:rFonts w:hint="eastAsia" w:asciiTheme="minorEastAsia" w:hAnsiTheme="minorEastAsia" w:eastAsiaTheme="minorEastAsia" w:cstheme="minorEastAsia"/>
        </w:rPr>
        <w:t xml:space="preserve">第2d再次浇水。 </w:t>
      </w:r>
    </w:p>
    <w:p w14:paraId="0FCE6061">
      <w:pPr>
        <w:pStyle w:val="2"/>
      </w:pPr>
      <w:bookmarkStart w:id="53" w:name="_Toc493528166"/>
      <w:bookmarkStart w:id="54" w:name="_Toc493513248"/>
      <w:bookmarkStart w:id="55" w:name="_Toc493513138"/>
      <w:bookmarkStart w:id="56" w:name="_Toc493512011"/>
      <w:r>
        <w:rPr>
          <w:rFonts w:hint="eastAsia"/>
        </w:rPr>
        <w:t>9 田间管理</w:t>
      </w:r>
      <w:bookmarkEnd w:id="53"/>
      <w:bookmarkEnd w:id="54"/>
      <w:bookmarkEnd w:id="55"/>
      <w:bookmarkEnd w:id="56"/>
    </w:p>
    <w:p w14:paraId="6CB5EF9F">
      <w:pPr>
        <w:pStyle w:val="146"/>
        <w:spacing w:before="156" w:after="156" w:line="400" w:lineRule="atLeast"/>
        <w:ind w:left="0" w:firstLine="0" w:firstLineChars="0"/>
        <w:contextualSpacing/>
        <w:rPr>
          <w:rFonts w:hAnsi="黑体" w:cs="黑体"/>
        </w:rPr>
      </w:pPr>
      <w:bookmarkStart w:id="57" w:name="_Toc493528167"/>
      <w:bookmarkStart w:id="58" w:name="_Toc493513249"/>
      <w:bookmarkStart w:id="59" w:name="_Toc493513139"/>
      <w:r>
        <w:rPr>
          <w:rFonts w:hint="eastAsia" w:ascii="黑体" w:hAnsi="黑体" w:eastAsia="黑体" w:cs="黑体"/>
        </w:rPr>
        <w:t>9.1 温度</w:t>
      </w:r>
    </w:p>
    <w:p w14:paraId="111BFE5B">
      <w:pPr>
        <w:pStyle w:val="146"/>
        <w:spacing w:before="156" w:after="156" w:line="400" w:lineRule="atLeast"/>
        <w:ind w:left="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早春栽培要注意保温，若需要田间定植后要搭小拱棚，</w:t>
      </w:r>
      <w:r>
        <w:rPr>
          <w:rFonts w:asciiTheme="minorEastAsia" w:hAnsiTheme="minorEastAsia" w:eastAsiaTheme="minorEastAsia" w:cstheme="minorEastAsia"/>
        </w:rPr>
        <w:t>拱间距</w:t>
      </w:r>
      <w:r>
        <w:rPr>
          <w:rFonts w:hint="eastAsia" w:asciiTheme="minorEastAsia" w:hAnsiTheme="minorEastAsia" w:eastAsiaTheme="minorEastAsia" w:cstheme="minorEastAsia"/>
        </w:rPr>
        <w:t>60cm</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70cm</w:t>
      </w:r>
      <w:r>
        <w:rPr>
          <w:rFonts w:asciiTheme="minorEastAsia" w:hAnsiTheme="minorEastAsia" w:eastAsiaTheme="minorEastAsia" w:cstheme="minorEastAsia"/>
        </w:rPr>
        <w:t>，拱高4</w:t>
      </w:r>
      <w:r>
        <w:rPr>
          <w:rFonts w:hint="eastAsia" w:asciiTheme="minorEastAsia" w:hAnsiTheme="minorEastAsia" w:eastAsiaTheme="minorEastAsia" w:cstheme="minorEastAsia"/>
        </w:rPr>
        <w:t>0cm</w:t>
      </w:r>
      <w:r>
        <w:rPr>
          <w:rFonts w:hint="eastAsia" w:asciiTheme="minorEastAsia" w:hAnsiTheme="minorEastAsia" w:eastAsiaTheme="minorEastAsia" w:cstheme="minorEastAsia"/>
          <w:lang w:val="zh-CN"/>
        </w:rPr>
        <w:t>～</w:t>
      </w:r>
      <w:r>
        <w:rPr>
          <w:rFonts w:asciiTheme="minorEastAsia" w:hAnsiTheme="minorEastAsia" w:eastAsiaTheme="minorEastAsia" w:cstheme="minorEastAsia"/>
        </w:rPr>
        <w:t>5</w:t>
      </w:r>
      <w:r>
        <w:rPr>
          <w:rFonts w:hint="eastAsia" w:asciiTheme="minorEastAsia" w:hAnsiTheme="minorEastAsia" w:eastAsiaTheme="minorEastAsia" w:cstheme="minorEastAsia"/>
        </w:rPr>
        <w:t>0cm</w:t>
      </w:r>
      <w:r>
        <w:rPr>
          <w:rFonts w:asciiTheme="minorEastAsia" w:hAnsiTheme="minorEastAsia" w:eastAsiaTheme="minorEastAsia" w:cstheme="minorEastAsia"/>
        </w:rPr>
        <w:t>。</w:t>
      </w:r>
      <w:r>
        <w:rPr>
          <w:rFonts w:hint="eastAsia" w:asciiTheme="minorEastAsia" w:hAnsiTheme="minorEastAsia" w:eastAsiaTheme="minorEastAsia" w:cstheme="minorEastAsia"/>
        </w:rPr>
        <w:t>期间及时通风或闭棚，温度控制在白天20</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30</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晚上不低于15</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当夜温维持在15</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以上时撤去小拱棚。</w:t>
      </w:r>
    </w:p>
    <w:p w14:paraId="16C73DDD">
      <w:pPr>
        <w:pStyle w:val="146"/>
        <w:spacing w:before="156" w:after="156" w:line="400" w:lineRule="atLeast"/>
        <w:ind w:left="0" w:firstLine="0" w:firstLineChars="0"/>
        <w:contextualSpacing/>
        <w:rPr>
          <w:rFonts w:ascii="黑体" w:hAnsi="黑体" w:eastAsia="黑体" w:cs="黑体"/>
        </w:rPr>
      </w:pPr>
      <w:r>
        <w:rPr>
          <w:rFonts w:hint="eastAsia" w:ascii="黑体" w:hAnsi="黑体" w:eastAsia="黑体" w:cs="黑体"/>
        </w:rPr>
        <w:t>9.2 水肥</w:t>
      </w:r>
      <w:bookmarkEnd w:id="57"/>
      <w:bookmarkEnd w:id="58"/>
      <w:bookmarkEnd w:id="59"/>
    </w:p>
    <w:p w14:paraId="1F367191">
      <w:pPr>
        <w:pStyle w:val="146"/>
        <w:spacing w:before="156" w:after="156" w:line="400" w:lineRule="atLeast"/>
        <w:ind w:left="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缓苗期、伸蔓期至坐瓜前适当控水；结瓜期每隔5d</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7d浇水1次。多雨季节要及时排涝。伸蔓期到坐瓜前以叶面追肥为主，可用0.2%磷酸二氢钾叶面喷施。结瓜早期，追施平衡水溶肥（N-P</w:t>
      </w:r>
      <w:r>
        <w:rPr>
          <w:rFonts w:hint="eastAsia" w:asciiTheme="minorEastAsia" w:hAnsiTheme="minorEastAsia" w:eastAsiaTheme="minorEastAsia" w:cstheme="minorEastAsia"/>
          <w:vertAlign w:val="subscript"/>
        </w:rPr>
        <w:t>2</w:t>
      </w:r>
      <w:r>
        <w:rPr>
          <w:rFonts w:hint="eastAsia" w:asciiTheme="minorEastAsia" w:hAnsiTheme="minorEastAsia" w:eastAsiaTheme="minorEastAsia" w:cstheme="minorEastAsia"/>
        </w:rPr>
        <w:t>O</w:t>
      </w:r>
      <w:r>
        <w:rPr>
          <w:rFonts w:hint="eastAsia" w:asciiTheme="minorEastAsia" w:hAnsiTheme="minorEastAsia" w:eastAsiaTheme="minorEastAsia" w:cstheme="minorEastAsia"/>
          <w:vertAlign w:val="subscript"/>
        </w:rPr>
        <w:t>5</w:t>
      </w:r>
      <w:r>
        <w:rPr>
          <w:rFonts w:hint="eastAsia" w:asciiTheme="minorEastAsia" w:hAnsiTheme="minorEastAsia" w:eastAsiaTheme="minorEastAsia" w:cstheme="minorEastAsia"/>
        </w:rPr>
        <w:t>-K2O为20-20-20）10kg/亩1次。结瓜盛期每隔20d追施平衡水溶肥（N-P</w:t>
      </w:r>
      <w:r>
        <w:rPr>
          <w:rFonts w:hint="eastAsia" w:asciiTheme="minorEastAsia" w:hAnsiTheme="minorEastAsia" w:eastAsiaTheme="minorEastAsia" w:cstheme="minorEastAsia"/>
          <w:vertAlign w:val="subscript"/>
        </w:rPr>
        <w:t>2</w:t>
      </w:r>
      <w:r>
        <w:rPr>
          <w:rFonts w:hint="eastAsia" w:asciiTheme="minorEastAsia" w:hAnsiTheme="minorEastAsia" w:eastAsiaTheme="minorEastAsia" w:cstheme="minorEastAsia"/>
        </w:rPr>
        <w:t>O</w:t>
      </w:r>
      <w:r>
        <w:rPr>
          <w:rFonts w:hint="eastAsia" w:asciiTheme="minorEastAsia" w:hAnsiTheme="minorEastAsia" w:eastAsiaTheme="minorEastAsia" w:cstheme="minorEastAsia"/>
          <w:vertAlign w:val="subscript"/>
        </w:rPr>
        <w:t>5</w:t>
      </w:r>
      <w:r>
        <w:rPr>
          <w:rFonts w:hint="eastAsia" w:asciiTheme="minorEastAsia" w:hAnsiTheme="minorEastAsia" w:eastAsiaTheme="minorEastAsia" w:cstheme="minorEastAsia"/>
        </w:rPr>
        <w:t>-K</w:t>
      </w:r>
      <w:r>
        <w:rPr>
          <w:rFonts w:hint="eastAsia" w:asciiTheme="minorEastAsia" w:hAnsiTheme="minorEastAsia" w:eastAsiaTheme="minorEastAsia" w:cstheme="minorEastAsia"/>
          <w:vertAlign w:val="subscript"/>
        </w:rPr>
        <w:t>2</w:t>
      </w:r>
      <w:r>
        <w:rPr>
          <w:rFonts w:hint="eastAsia" w:asciiTheme="minorEastAsia" w:hAnsiTheme="minorEastAsia" w:eastAsiaTheme="minorEastAsia" w:cstheme="minorEastAsia"/>
        </w:rPr>
        <w:t>O为20-20-20）10kg/亩</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15kg/亩1次，共计3次。肥料使用应符合</w:t>
      </w:r>
      <w:r>
        <w:rPr>
          <w:rFonts w:hint="eastAsia" w:asciiTheme="minorEastAsia" w:hAnsiTheme="minorEastAsia" w:eastAsiaTheme="minorEastAsia" w:cstheme="minorEastAsia"/>
          <w:lang w:val="zh-CN"/>
        </w:rPr>
        <w:t>NY/T</w:t>
      </w:r>
      <w:r>
        <w:rPr>
          <w:rFonts w:hint="eastAsia" w:asciiTheme="minorEastAsia" w:hAnsiTheme="minorEastAsia" w:eastAsiaTheme="minorEastAsia" w:cstheme="minorEastAsia"/>
        </w:rPr>
        <w:t xml:space="preserve"> </w:t>
      </w:r>
      <w:r>
        <w:rPr>
          <w:rFonts w:hint="eastAsia" w:asciiTheme="minorEastAsia" w:hAnsiTheme="minorEastAsia" w:eastAsiaTheme="minorEastAsia" w:cstheme="minorEastAsia"/>
          <w:lang w:val="zh-CN"/>
        </w:rPr>
        <w:t>394的</w:t>
      </w:r>
      <w:r>
        <w:rPr>
          <w:rFonts w:hint="eastAsia" w:asciiTheme="minorEastAsia" w:hAnsiTheme="minorEastAsia" w:eastAsiaTheme="minorEastAsia" w:cstheme="minorEastAsia"/>
        </w:rPr>
        <w:t>规定。</w:t>
      </w:r>
    </w:p>
    <w:p w14:paraId="5FDF310D">
      <w:pPr>
        <w:pStyle w:val="146"/>
        <w:spacing w:before="156" w:after="156" w:line="400" w:lineRule="atLeast"/>
        <w:ind w:left="0" w:firstLine="0" w:firstLineChars="0"/>
        <w:contextualSpacing/>
        <w:rPr>
          <w:rFonts w:ascii="黑体" w:hAnsi="黑体" w:eastAsia="黑体" w:cs="黑体"/>
        </w:rPr>
      </w:pPr>
      <w:r>
        <w:rPr>
          <w:rFonts w:hint="eastAsia" w:ascii="黑体" w:hAnsi="黑体" w:eastAsia="黑体" w:cs="黑体"/>
        </w:rPr>
        <w:t>9.3 搭架</w:t>
      </w:r>
    </w:p>
    <w:p w14:paraId="0F453EF5">
      <w:pPr>
        <w:pStyle w:val="146"/>
        <w:spacing w:before="156" w:after="156" w:line="400" w:lineRule="atLeast"/>
        <w:ind w:left="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人字架、小拱架栽培采用竹竿或者玻璃纤维杆，杆长2.5m</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3.0m。人字架顶部交叉处距地面1.6m左右。竹木小拱架跨度2.5m</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3.0m，高度2m左右。平架</w:t>
      </w:r>
      <w:r>
        <w:rPr>
          <w:rFonts w:hint="eastAsia" w:asciiTheme="minorEastAsia" w:hAnsiTheme="minorEastAsia" w:eastAsiaTheme="minorEastAsia" w:cstheme="minorEastAsia"/>
          <w:lang w:val="zh-CN"/>
        </w:rPr>
        <w:t>采用</w:t>
      </w:r>
      <w:r>
        <w:rPr>
          <w:rFonts w:hint="eastAsia" w:asciiTheme="minorEastAsia" w:hAnsiTheme="minorEastAsia" w:eastAsiaTheme="minorEastAsia" w:cstheme="minorEastAsia"/>
        </w:rPr>
        <w:t>竹木结构或者水泥柱、竹木混合结构，棚架高度1.8m</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2.0m。</w:t>
      </w:r>
    </w:p>
    <w:p w14:paraId="7BC6DBC0">
      <w:pPr>
        <w:pStyle w:val="146"/>
        <w:spacing w:before="156" w:after="156" w:line="400" w:lineRule="atLeast"/>
        <w:ind w:left="0" w:firstLine="0" w:firstLineChars="0"/>
        <w:contextualSpacing/>
        <w:rPr>
          <w:rFonts w:ascii="黑体" w:hAnsi="黑体" w:eastAsia="黑体" w:cs="黑体"/>
        </w:rPr>
      </w:pPr>
      <w:bookmarkStart w:id="60" w:name="_Toc493528170"/>
      <w:bookmarkStart w:id="61" w:name="_Toc493513252"/>
      <w:bookmarkStart w:id="62" w:name="_Toc493513145"/>
      <w:r>
        <w:rPr>
          <w:rFonts w:hint="eastAsia" w:ascii="黑体" w:hAnsi="黑体" w:eastAsia="黑体" w:cs="黑体"/>
        </w:rPr>
        <w:t>9.4 植株调整</w:t>
      </w:r>
      <w:bookmarkEnd w:id="60"/>
      <w:bookmarkEnd w:id="61"/>
      <w:bookmarkEnd w:id="62"/>
      <w:r>
        <w:rPr>
          <w:rFonts w:hint="eastAsia" w:ascii="黑体" w:hAnsi="黑体" w:eastAsia="黑体" w:cs="黑体"/>
        </w:rPr>
        <w:t xml:space="preserve"> </w:t>
      </w:r>
    </w:p>
    <w:p w14:paraId="0DD69A81">
      <w:pPr>
        <w:pStyle w:val="146"/>
        <w:spacing w:before="156" w:after="156" w:line="400" w:lineRule="atLeast"/>
        <w:ind w:left="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当主蔓高30cm</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40cm时及时绑蔓引蔓。人字架栽培在主蔓第一雌花出现前摘除全部侧枝，之后出现侧枝结瓜后留1叶摘心；小拱架栽培在主蔓第一雌花出现前摘除全部侧枝，上架后不再疏蔓；平架栽培在主蔓上架前摘除全部侧枝，只保留主蔓结瓜，上架后不再疏蔓。及时摘除过密的老叶、病叶以及畸形瓜，摘除过多的雄花、卷须。</w:t>
      </w:r>
    </w:p>
    <w:p w14:paraId="6E9887D2">
      <w:pPr>
        <w:pStyle w:val="2"/>
      </w:pPr>
      <w:bookmarkStart w:id="63" w:name="_Toc493528173"/>
      <w:bookmarkStart w:id="64" w:name="_Toc493513255"/>
      <w:bookmarkStart w:id="65" w:name="_Toc493513152"/>
      <w:r>
        <w:rPr>
          <w:rFonts w:hint="eastAsia"/>
        </w:rPr>
        <w:t>10 病虫害</w:t>
      </w:r>
      <w:bookmarkEnd w:id="63"/>
      <w:bookmarkEnd w:id="64"/>
      <w:bookmarkEnd w:id="65"/>
      <w:r>
        <w:rPr>
          <w:rFonts w:hint="eastAsia"/>
        </w:rPr>
        <w:t>防治</w:t>
      </w:r>
    </w:p>
    <w:p w14:paraId="37399DC7">
      <w:pPr>
        <w:pStyle w:val="146"/>
        <w:spacing w:before="156" w:after="156" w:line="400" w:lineRule="atLeast"/>
        <w:ind w:left="0" w:firstLine="0" w:firstLineChars="0"/>
        <w:contextualSpacing/>
        <w:rPr>
          <w:rFonts w:ascii="黑体" w:hAnsi="黑体" w:eastAsia="黑体" w:cs="黑体"/>
        </w:rPr>
      </w:pPr>
      <w:r>
        <w:rPr>
          <w:rFonts w:hint="eastAsia" w:ascii="黑体" w:hAnsi="黑体" w:eastAsia="黑体" w:cs="黑体"/>
        </w:rPr>
        <w:t>10.1 防治原则</w:t>
      </w:r>
    </w:p>
    <w:p w14:paraId="618B1E07">
      <w:pPr>
        <w:pStyle w:val="146"/>
        <w:spacing w:before="156" w:after="156" w:line="400" w:lineRule="atLeast"/>
        <w:ind w:left="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按照“预防为主、综合防治”的植保方针，在做好种子检疫和病虫害田间监测的基础上，针对丝瓜不同生育期主要病虫害发生特点，优先采用农业措施、物理防治、生物防治，辅之以科学合理的化学防治的绿色防控技术，实现丝瓜病虫害绿色防控和优质安全生产。</w:t>
      </w:r>
    </w:p>
    <w:p w14:paraId="7997044C">
      <w:pPr>
        <w:pStyle w:val="146"/>
        <w:spacing w:before="156" w:after="156" w:line="400" w:lineRule="atLeast"/>
        <w:ind w:left="0" w:firstLine="0" w:firstLineChars="0"/>
        <w:contextualSpacing/>
        <w:rPr>
          <w:rFonts w:ascii="黑体" w:hAnsi="黑体" w:eastAsia="黑体" w:cs="黑体"/>
        </w:rPr>
      </w:pPr>
      <w:r>
        <w:rPr>
          <w:rFonts w:hint="eastAsia" w:ascii="黑体" w:hAnsi="黑体" w:eastAsia="黑体" w:cs="黑体"/>
        </w:rPr>
        <w:t>10.2 主要防治对象</w:t>
      </w:r>
    </w:p>
    <w:p w14:paraId="1B2948EA">
      <w:pPr>
        <w:pStyle w:val="146"/>
        <w:spacing w:before="156" w:after="156" w:line="400" w:lineRule="atLeast"/>
        <w:ind w:left="0"/>
        <w:contextualSpacing/>
        <w:rPr>
          <w:rFonts w:asciiTheme="minorEastAsia" w:hAnsiTheme="minorEastAsia" w:eastAsiaTheme="minorEastAsia" w:cstheme="minorEastAsia"/>
          <w:color w:val="000000"/>
          <w:kern w:val="0"/>
          <w:lang w:val="zh-CN"/>
        </w:rPr>
      </w:pPr>
      <w:r>
        <w:rPr>
          <w:rFonts w:hint="eastAsia" w:asciiTheme="minorEastAsia" w:hAnsiTheme="minorEastAsia" w:eastAsiaTheme="minorEastAsia" w:cstheme="minorEastAsia"/>
          <w:color w:val="000000"/>
          <w:kern w:val="0"/>
        </w:rPr>
        <w:t>主要病虫害：霜霉病、白粉病、炭疽病、蓟马、</w:t>
      </w:r>
      <w:r>
        <w:rPr>
          <w:rFonts w:hint="eastAsia" w:asciiTheme="minorEastAsia" w:hAnsiTheme="minorEastAsia" w:eastAsiaTheme="minorEastAsia" w:cstheme="minorEastAsia"/>
          <w:color w:val="000000"/>
          <w:kern w:val="0"/>
          <w:lang w:val="zh-CN"/>
        </w:rPr>
        <w:t>潜</w:t>
      </w:r>
      <w:r>
        <w:rPr>
          <w:rFonts w:hint="eastAsia" w:asciiTheme="minorEastAsia" w:hAnsiTheme="minorEastAsia" w:eastAsiaTheme="minorEastAsia" w:cstheme="minorEastAsia"/>
          <w:color w:val="000000"/>
          <w:kern w:val="0"/>
        </w:rPr>
        <w:t>叶</w:t>
      </w:r>
      <w:r>
        <w:rPr>
          <w:rFonts w:hint="eastAsia" w:asciiTheme="minorEastAsia" w:hAnsiTheme="minorEastAsia" w:eastAsiaTheme="minorEastAsia" w:cstheme="minorEastAsia"/>
          <w:color w:val="000000"/>
          <w:kern w:val="0"/>
          <w:lang w:val="zh-CN"/>
        </w:rPr>
        <w:t>蝇</w:t>
      </w:r>
      <w:r>
        <w:rPr>
          <w:rFonts w:hint="eastAsia" w:asciiTheme="minorEastAsia" w:hAnsiTheme="minorEastAsia" w:eastAsiaTheme="minorEastAsia" w:cstheme="minorEastAsia"/>
          <w:color w:val="000000"/>
          <w:kern w:val="0"/>
        </w:rPr>
        <w:t>等</w:t>
      </w:r>
      <w:r>
        <w:rPr>
          <w:rFonts w:hint="eastAsia" w:asciiTheme="minorEastAsia" w:hAnsiTheme="minorEastAsia" w:eastAsiaTheme="minorEastAsia" w:cstheme="minorEastAsia"/>
          <w:color w:val="000000"/>
          <w:kern w:val="0"/>
          <w:lang w:val="zh-CN"/>
        </w:rPr>
        <w:t>。</w:t>
      </w:r>
    </w:p>
    <w:p w14:paraId="74EADC14">
      <w:pPr>
        <w:pStyle w:val="146"/>
        <w:spacing w:before="156" w:after="156" w:line="400" w:lineRule="atLeast"/>
        <w:ind w:left="0" w:firstLine="0" w:firstLineChars="0"/>
        <w:contextualSpacing/>
        <w:rPr>
          <w:rFonts w:ascii="黑体" w:hAnsi="黑体" w:eastAsia="黑体" w:cs="黑体"/>
        </w:rPr>
      </w:pPr>
      <w:r>
        <w:rPr>
          <w:rFonts w:hint="eastAsia" w:ascii="黑体" w:hAnsi="黑体" w:eastAsia="黑体" w:cs="黑体"/>
        </w:rPr>
        <w:t>10.3 防治</w:t>
      </w:r>
      <w:r>
        <w:rPr>
          <w:rFonts w:ascii="黑体" w:hAnsi="黑体" w:eastAsia="黑体" w:cs="黑体"/>
        </w:rPr>
        <w:t>措施</w:t>
      </w:r>
    </w:p>
    <w:p w14:paraId="07835877">
      <w:pPr>
        <w:pStyle w:val="146"/>
        <w:spacing w:before="156" w:after="156" w:line="400" w:lineRule="atLeast"/>
        <w:ind w:left="0" w:firstLine="0" w:firstLineChars="0"/>
        <w:contextualSpacing/>
        <w:rPr>
          <w:rFonts w:ascii="黑体" w:hAnsi="黑体" w:eastAsia="黑体" w:cs="黑体"/>
        </w:rPr>
      </w:pPr>
      <w:r>
        <w:rPr>
          <w:rFonts w:hint="eastAsia" w:ascii="黑体" w:hAnsi="黑体" w:eastAsia="黑体" w:cs="黑体"/>
        </w:rPr>
        <w:t>10.3.1 农业防治</w:t>
      </w:r>
    </w:p>
    <w:p w14:paraId="66CCE4EA">
      <w:pPr>
        <w:pStyle w:val="146"/>
        <w:spacing w:before="156" w:after="156" w:line="400" w:lineRule="atLeast"/>
        <w:ind w:left="0"/>
        <w:contextualSpacing/>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选用抗逆性、抗病性强的品种；进行种子消毒，培育壮苗；严格实行轮作，与非瓜类作物轮作3年以上；深耕冻垡晒垡，清洁田园；合理施肥，及时排水防涝等。</w:t>
      </w:r>
    </w:p>
    <w:p w14:paraId="1F1AEB04">
      <w:pPr>
        <w:pStyle w:val="146"/>
        <w:spacing w:before="156" w:after="156" w:line="400" w:lineRule="atLeast"/>
        <w:ind w:left="0" w:firstLine="0" w:firstLineChars="0"/>
        <w:contextualSpacing/>
        <w:rPr>
          <w:rFonts w:ascii="黑体" w:hAnsi="黑体" w:eastAsia="黑体" w:cs="黑体"/>
        </w:rPr>
      </w:pPr>
      <w:r>
        <w:rPr>
          <w:rFonts w:hint="eastAsia" w:ascii="黑体" w:hAnsi="黑体" w:eastAsia="黑体" w:cs="黑体"/>
        </w:rPr>
        <w:t>10.</w:t>
      </w:r>
      <w:r>
        <w:rPr>
          <w:rFonts w:ascii="黑体" w:hAnsi="黑体" w:eastAsia="黑体" w:cs="黑体"/>
        </w:rPr>
        <w:t>3.2</w:t>
      </w:r>
      <w:r>
        <w:rPr>
          <w:rFonts w:hint="eastAsia" w:ascii="黑体" w:hAnsi="黑体" w:eastAsia="黑体" w:cs="黑体"/>
        </w:rPr>
        <w:t xml:space="preserve"> 物理防治</w:t>
      </w:r>
    </w:p>
    <w:p w14:paraId="20B2DF41">
      <w:pPr>
        <w:pStyle w:val="146"/>
        <w:spacing w:before="156" w:after="156" w:line="400" w:lineRule="atLeast"/>
        <w:ind w:left="0"/>
        <w:contextualSpacing/>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田间铺设银黑双色地膜；播种前温汤浸种；利用</w:t>
      </w:r>
      <w:r>
        <w:rPr>
          <w:rFonts w:hint="eastAsia" w:asciiTheme="minorEastAsia" w:hAnsiTheme="minorEastAsia" w:eastAsiaTheme="minorEastAsia" w:cstheme="minorEastAsia"/>
          <w:color w:val="000000"/>
          <w:kern w:val="0"/>
          <w:lang w:val="zh-CN"/>
        </w:rPr>
        <w:t>杀虫灯诱杀</w:t>
      </w:r>
      <w:r>
        <w:rPr>
          <w:rFonts w:hint="eastAsia" w:asciiTheme="minorEastAsia" w:hAnsiTheme="minorEastAsia" w:eastAsiaTheme="minorEastAsia" w:cstheme="minorEastAsia"/>
          <w:color w:val="000000"/>
          <w:kern w:val="0"/>
        </w:rPr>
        <w:t>害虫等。杀虫灯放置密度</w:t>
      </w:r>
      <w:r>
        <w:rPr>
          <w:rFonts w:hint="eastAsia" w:asciiTheme="minorEastAsia" w:hAnsiTheme="minorEastAsia" w:eastAsiaTheme="minorEastAsia" w:cstheme="minorEastAsia"/>
        </w:rPr>
        <w:t>为每30亩1盏</w:t>
      </w:r>
      <w:r>
        <w:rPr>
          <w:rFonts w:hint="eastAsia" w:asciiTheme="minorEastAsia" w:hAnsiTheme="minorEastAsia" w:eastAsiaTheme="minorEastAsia" w:cstheme="minorEastAsia"/>
          <w:color w:val="000000"/>
          <w:kern w:val="0"/>
        </w:rPr>
        <w:t>。杀虫灯使用应符合</w:t>
      </w:r>
      <w:r>
        <w:rPr>
          <w:rFonts w:hint="eastAsia" w:asciiTheme="minorEastAsia" w:hAnsiTheme="minorEastAsia" w:eastAsiaTheme="minorEastAsia" w:cstheme="minorEastAsia"/>
        </w:rPr>
        <w:t>GB/T 24689.2</w:t>
      </w:r>
      <w:r>
        <w:rPr>
          <w:rFonts w:hint="eastAsia" w:asciiTheme="minorEastAsia" w:hAnsiTheme="minorEastAsia" w:eastAsiaTheme="minorEastAsia" w:cstheme="minorEastAsia"/>
          <w:color w:val="000000"/>
          <w:kern w:val="0"/>
        </w:rPr>
        <w:t>规定。</w:t>
      </w:r>
    </w:p>
    <w:p w14:paraId="6076C656">
      <w:pPr>
        <w:pStyle w:val="146"/>
        <w:spacing w:before="156" w:after="156" w:line="400" w:lineRule="atLeast"/>
        <w:ind w:left="0" w:firstLine="0" w:firstLineChars="0"/>
        <w:contextualSpacing/>
        <w:rPr>
          <w:rFonts w:ascii="黑体" w:hAnsi="黑体" w:eastAsia="黑体" w:cs="黑体"/>
        </w:rPr>
      </w:pPr>
      <w:r>
        <w:rPr>
          <w:rFonts w:hint="eastAsia" w:ascii="黑体" w:hAnsi="黑体" w:eastAsia="黑体" w:cs="黑体"/>
        </w:rPr>
        <w:t>10.</w:t>
      </w:r>
      <w:r>
        <w:rPr>
          <w:rFonts w:ascii="黑体" w:hAnsi="黑体" w:eastAsia="黑体" w:cs="黑体"/>
        </w:rPr>
        <w:t>3.3</w:t>
      </w:r>
      <w:r>
        <w:rPr>
          <w:rFonts w:hint="eastAsia" w:ascii="黑体" w:hAnsi="黑体" w:eastAsia="黑体" w:cs="黑体"/>
        </w:rPr>
        <w:t xml:space="preserve"> 生物防治</w:t>
      </w:r>
    </w:p>
    <w:p w14:paraId="402B659E">
      <w:pPr>
        <w:pStyle w:val="146"/>
        <w:spacing w:before="156" w:after="156" w:line="400" w:lineRule="atLeast"/>
        <w:ind w:left="0"/>
        <w:contextualSpacing/>
        <w:rPr>
          <w:rFonts w:asciiTheme="minorEastAsia" w:hAnsiTheme="minorEastAsia" w:eastAsiaTheme="minorEastAsia" w:cstheme="minorEastAsia"/>
        </w:rPr>
      </w:pPr>
      <w:r>
        <w:rPr>
          <w:rFonts w:hint="eastAsia" w:asciiTheme="minorEastAsia" w:hAnsiTheme="minorEastAsia" w:eastAsiaTheme="minorEastAsia" w:cstheme="minorEastAsia"/>
          <w:lang w:val="zh-CN"/>
        </w:rPr>
        <w:t>利用生物农药</w:t>
      </w:r>
      <w:r>
        <w:rPr>
          <w:rFonts w:hint="eastAsia" w:asciiTheme="minorEastAsia" w:hAnsiTheme="minorEastAsia" w:eastAsiaTheme="minorEastAsia" w:cstheme="minorEastAsia"/>
        </w:rPr>
        <w:t>与</w:t>
      </w:r>
      <w:r>
        <w:rPr>
          <w:rFonts w:hint="eastAsia" w:asciiTheme="minorEastAsia" w:hAnsiTheme="minorEastAsia" w:eastAsiaTheme="minorEastAsia" w:cstheme="minorEastAsia"/>
          <w:lang w:val="zh-CN"/>
        </w:rPr>
        <w:t>植物源农药</w:t>
      </w:r>
      <w:r>
        <w:rPr>
          <w:rFonts w:hint="eastAsia" w:asciiTheme="minorEastAsia" w:hAnsiTheme="minorEastAsia" w:eastAsiaTheme="minorEastAsia" w:cstheme="minorEastAsia"/>
        </w:rPr>
        <w:t>防治害虫，如苦参碱等；利用性诱剂诱杀害虫；积极利用天敌或人工释放天敌防治害虫，如田间释放瓢虫、草蛉、捕食螨等捕食性天敌和丽蚜小蜂等寄生性天敌，防治蚜虫、粉虱、蓟马等害虫。农药使用应符合NY/T 393规定，具体用药情况见附录A。</w:t>
      </w:r>
    </w:p>
    <w:p w14:paraId="641D7CD8">
      <w:pPr>
        <w:pStyle w:val="146"/>
        <w:spacing w:before="156" w:after="156" w:line="400" w:lineRule="atLeast"/>
        <w:ind w:left="0" w:firstLine="0" w:firstLineChars="0"/>
        <w:contextualSpacing/>
        <w:rPr>
          <w:rFonts w:ascii="黑体" w:hAnsi="黑体" w:eastAsia="黑体" w:cs="黑体"/>
        </w:rPr>
      </w:pPr>
      <w:r>
        <w:rPr>
          <w:rFonts w:hint="eastAsia" w:ascii="黑体" w:hAnsi="黑体" w:eastAsia="黑体" w:cs="黑体"/>
        </w:rPr>
        <w:t>10.</w:t>
      </w:r>
      <w:r>
        <w:rPr>
          <w:rFonts w:ascii="黑体" w:hAnsi="黑体" w:eastAsia="黑体" w:cs="黑体"/>
        </w:rPr>
        <w:t>3.4</w:t>
      </w:r>
      <w:r>
        <w:rPr>
          <w:rFonts w:hint="eastAsia" w:ascii="黑体" w:hAnsi="黑体" w:eastAsia="黑体" w:cs="黑体"/>
        </w:rPr>
        <w:t xml:space="preserve"> 化学防治</w:t>
      </w:r>
    </w:p>
    <w:p w14:paraId="51E8AFCA">
      <w:pPr>
        <w:pStyle w:val="146"/>
        <w:spacing w:before="156" w:after="156" w:line="400" w:lineRule="atLeast"/>
        <w:ind w:left="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注意交替用药，</w:t>
      </w:r>
      <w:r>
        <w:rPr>
          <w:rFonts w:hint="eastAsia" w:asciiTheme="minorEastAsia" w:hAnsiTheme="minorEastAsia" w:eastAsiaTheme="minorEastAsia" w:cstheme="minorEastAsia"/>
          <w:lang w:val="zh-CN"/>
        </w:rPr>
        <w:t>不超范围使用农药，严禁使用剧毒、高毒、高残留农药。农药使用</w:t>
      </w:r>
      <w:r>
        <w:rPr>
          <w:rFonts w:hint="eastAsia" w:asciiTheme="minorEastAsia" w:hAnsiTheme="minorEastAsia" w:eastAsiaTheme="minorEastAsia" w:cstheme="minorEastAsia"/>
        </w:rPr>
        <w:t>应符合</w:t>
      </w:r>
      <w:r>
        <w:rPr>
          <w:rFonts w:hint="eastAsia" w:asciiTheme="minorEastAsia" w:hAnsiTheme="minorEastAsia" w:eastAsiaTheme="minorEastAsia" w:cstheme="minorEastAsia"/>
          <w:lang w:val="zh-CN"/>
        </w:rPr>
        <w:t>NY/T 393的规定，</w:t>
      </w:r>
      <w:r>
        <w:rPr>
          <w:rFonts w:hint="eastAsia" w:asciiTheme="minorEastAsia" w:hAnsiTheme="minorEastAsia" w:eastAsiaTheme="minorEastAsia" w:cstheme="minorEastAsia"/>
        </w:rPr>
        <w:t>具体用药情况参</w:t>
      </w:r>
      <w:r>
        <w:rPr>
          <w:rFonts w:hint="eastAsia" w:asciiTheme="minorEastAsia" w:hAnsiTheme="minorEastAsia" w:eastAsiaTheme="minorEastAsia" w:cstheme="minorEastAsia"/>
          <w:lang w:val="zh-CN"/>
        </w:rPr>
        <w:t>见附录A。</w:t>
      </w:r>
    </w:p>
    <w:p w14:paraId="3C3563A2">
      <w:pPr>
        <w:pStyle w:val="2"/>
      </w:pPr>
      <w:bookmarkStart w:id="66" w:name="_Toc493512012"/>
      <w:bookmarkStart w:id="67" w:name="_Toc493513155"/>
      <w:bookmarkStart w:id="68" w:name="_Toc493528174"/>
      <w:bookmarkStart w:id="69" w:name="_Toc493513256"/>
      <w:r>
        <w:rPr>
          <w:rFonts w:hint="eastAsia"/>
        </w:rPr>
        <w:t>11 采收与包装</w:t>
      </w:r>
      <w:bookmarkEnd w:id="66"/>
      <w:bookmarkEnd w:id="67"/>
      <w:bookmarkEnd w:id="68"/>
      <w:bookmarkEnd w:id="69"/>
    </w:p>
    <w:p w14:paraId="2A2F120D">
      <w:pPr>
        <w:pStyle w:val="146"/>
        <w:spacing w:before="156" w:after="156" w:line="400" w:lineRule="atLeast"/>
        <w:ind w:left="0" w:firstLine="0" w:firstLineChars="0"/>
        <w:contextualSpacing/>
        <w:rPr>
          <w:rFonts w:ascii="黑体" w:hAnsi="黑体" w:eastAsia="黑体" w:cs="黑体"/>
        </w:rPr>
      </w:pPr>
      <w:bookmarkStart w:id="70" w:name="_Toc493528175"/>
      <w:bookmarkStart w:id="71" w:name="_Toc493513257"/>
      <w:bookmarkStart w:id="72" w:name="_Toc493513156"/>
      <w:r>
        <w:rPr>
          <w:rFonts w:hint="eastAsia" w:ascii="黑体" w:hAnsi="黑体" w:eastAsia="黑体" w:cs="黑体"/>
        </w:rPr>
        <w:t>11.1 采收</w:t>
      </w:r>
      <w:bookmarkEnd w:id="70"/>
      <w:bookmarkEnd w:id="71"/>
      <w:bookmarkEnd w:id="72"/>
    </w:p>
    <w:p w14:paraId="6CB2B06A">
      <w:pPr>
        <w:pStyle w:val="146"/>
        <w:spacing w:before="156" w:after="156" w:line="400" w:lineRule="atLeast"/>
        <w:ind w:left="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一般开花授粉后10d</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12d，当果梗光滑稍变色、瓜身饱满茸毛减少，果皮呈现光泽等特性时即可采收。采收宜在早晨进行</w:t>
      </w:r>
      <w:r>
        <w:rPr>
          <w:rFonts w:hint="eastAsia" w:asciiTheme="minorEastAsia" w:hAnsiTheme="minorEastAsia" w:eastAsiaTheme="minorEastAsia" w:cstheme="minorEastAsia"/>
          <w:lang w:val="zh-CN"/>
        </w:rPr>
        <w:t>，用剪刀</w:t>
      </w:r>
      <w:r>
        <w:rPr>
          <w:rFonts w:hint="eastAsia" w:asciiTheme="minorEastAsia" w:hAnsiTheme="minorEastAsia" w:eastAsiaTheme="minorEastAsia" w:cstheme="minorEastAsia"/>
        </w:rPr>
        <w:t>留瓜柄3cm</w:t>
      </w:r>
      <w:r>
        <w:rPr>
          <w:rFonts w:hint="eastAsia" w:asciiTheme="minorEastAsia" w:hAnsiTheme="minorEastAsia" w:eastAsiaTheme="minorEastAsia" w:cstheme="minorEastAsia"/>
          <w:lang w:val="zh-CN"/>
        </w:rPr>
        <w:t>剪下，轻拿轻放，防止</w:t>
      </w:r>
      <w:r>
        <w:rPr>
          <w:rFonts w:hint="eastAsia" w:asciiTheme="minorEastAsia" w:hAnsiTheme="minorEastAsia" w:eastAsiaTheme="minorEastAsia" w:cstheme="minorEastAsia"/>
        </w:rPr>
        <w:t>挤压</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产品质量应符合NY/T 747规定</w:t>
      </w:r>
    </w:p>
    <w:p w14:paraId="5734C7EE">
      <w:pPr>
        <w:pStyle w:val="146"/>
        <w:spacing w:before="156" w:after="156" w:line="400" w:lineRule="atLeast"/>
        <w:ind w:left="0" w:firstLine="0" w:firstLineChars="0"/>
        <w:contextualSpacing/>
        <w:rPr>
          <w:rFonts w:ascii="黑体" w:hAnsi="黑体" w:eastAsia="黑体" w:cs="黑体"/>
        </w:rPr>
      </w:pPr>
      <w:bookmarkStart w:id="73" w:name="_Toc493513258"/>
      <w:bookmarkStart w:id="74" w:name="_Toc493513157"/>
      <w:bookmarkStart w:id="75" w:name="_Toc493528176"/>
      <w:r>
        <w:rPr>
          <w:rFonts w:hint="eastAsia" w:ascii="黑体" w:hAnsi="黑体" w:eastAsia="黑体" w:cs="黑体"/>
        </w:rPr>
        <w:t>11.2 包装</w:t>
      </w:r>
      <w:bookmarkEnd w:id="73"/>
      <w:bookmarkEnd w:id="74"/>
      <w:bookmarkEnd w:id="75"/>
    </w:p>
    <w:p w14:paraId="7E5AAB51">
      <w:pPr>
        <w:pStyle w:val="146"/>
        <w:spacing w:before="156" w:after="156" w:line="400" w:lineRule="atLeast"/>
        <w:ind w:left="0"/>
        <w:contextualSpacing/>
        <w:rPr>
          <w:rFonts w:asciiTheme="minorEastAsia" w:hAnsiTheme="minorEastAsia" w:eastAsiaTheme="minorEastAsia" w:cstheme="minorEastAsia"/>
        </w:rPr>
      </w:pPr>
      <w:r>
        <w:rPr>
          <w:rFonts w:hint="eastAsia" w:asciiTheme="minorEastAsia" w:hAnsiTheme="minorEastAsia" w:eastAsiaTheme="minorEastAsia" w:cstheme="minorEastAsia"/>
          <w:lang w:val="zh-CN"/>
        </w:rPr>
        <w:t>按</w:t>
      </w:r>
      <w:r>
        <w:rPr>
          <w:rFonts w:hint="eastAsia" w:asciiTheme="minorEastAsia" w:hAnsiTheme="minorEastAsia" w:eastAsiaTheme="minorEastAsia" w:cstheme="minorEastAsia"/>
        </w:rPr>
        <w:t>不同品种</w:t>
      </w:r>
      <w:r>
        <w:rPr>
          <w:rFonts w:hint="eastAsia" w:asciiTheme="minorEastAsia" w:hAnsiTheme="minorEastAsia" w:eastAsiaTheme="minorEastAsia" w:cstheme="minorEastAsia"/>
          <w:lang w:val="zh-CN"/>
        </w:rPr>
        <w:t>、规格、</w:t>
      </w:r>
      <w:r>
        <w:rPr>
          <w:rFonts w:hint="eastAsia" w:asciiTheme="minorEastAsia" w:hAnsiTheme="minorEastAsia" w:eastAsiaTheme="minorEastAsia" w:cstheme="minorEastAsia"/>
        </w:rPr>
        <w:t>等级分级放入包装容器中</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纸箱、塑料箱等外包装容器应干燥、清洁、无毒、无污染。包装外应有产品标签，注明产品名称、生产者、产地、净含量和采收日期等。丝瓜分级标准应符合NY/T 1982规定。包装应符合NY/T 658规定。</w:t>
      </w:r>
    </w:p>
    <w:p w14:paraId="22A1909B">
      <w:pPr>
        <w:pStyle w:val="2"/>
      </w:pPr>
      <w:r>
        <w:rPr>
          <w:rFonts w:hint="eastAsia"/>
        </w:rPr>
        <w:t>12 储</w:t>
      </w:r>
      <w:r>
        <w:rPr>
          <w:rFonts w:hint="eastAsia"/>
          <w:lang w:val="zh-CN"/>
        </w:rPr>
        <w:t>藏</w:t>
      </w:r>
      <w:r>
        <w:rPr>
          <w:rFonts w:hint="eastAsia"/>
        </w:rPr>
        <w:t>与</w:t>
      </w:r>
      <w:r>
        <w:rPr>
          <w:rFonts w:hint="eastAsia"/>
          <w:lang w:val="zh-CN"/>
        </w:rPr>
        <w:t>运输</w:t>
      </w:r>
      <w:r>
        <w:rPr>
          <w:rFonts w:hint="eastAsia"/>
        </w:rPr>
        <w:t xml:space="preserve"> </w:t>
      </w:r>
    </w:p>
    <w:p w14:paraId="70C831ED">
      <w:pPr>
        <w:pStyle w:val="146"/>
        <w:spacing w:before="156" w:after="156" w:line="400" w:lineRule="atLeast"/>
        <w:ind w:left="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储藏和运输条件</w:t>
      </w:r>
      <w:r>
        <w:rPr>
          <w:rFonts w:hint="eastAsia" w:asciiTheme="minorEastAsia" w:hAnsiTheme="minorEastAsia" w:eastAsiaTheme="minorEastAsia" w:cstheme="minorEastAsia"/>
          <w:lang w:val="zh-CN"/>
        </w:rPr>
        <w:t>应符合</w:t>
      </w:r>
      <w:r>
        <w:rPr>
          <w:rFonts w:hint="eastAsia" w:asciiTheme="minorEastAsia" w:hAnsiTheme="minorEastAsia" w:eastAsiaTheme="minorEastAsia" w:cstheme="minorEastAsia"/>
        </w:rPr>
        <w:t>NY/T1056</w:t>
      </w:r>
      <w:r>
        <w:rPr>
          <w:rFonts w:hint="eastAsia" w:asciiTheme="minorEastAsia" w:hAnsiTheme="minorEastAsia" w:eastAsiaTheme="minorEastAsia" w:cstheme="minorEastAsia"/>
          <w:lang w:val="zh-CN"/>
        </w:rPr>
        <w:t>的</w:t>
      </w:r>
      <w:r>
        <w:rPr>
          <w:rFonts w:hint="eastAsia" w:asciiTheme="minorEastAsia" w:hAnsiTheme="minorEastAsia" w:eastAsiaTheme="minorEastAsia" w:cstheme="minorEastAsia"/>
        </w:rPr>
        <w:t>规定</w:t>
      </w:r>
      <w:r>
        <w:rPr>
          <w:rFonts w:hint="eastAsia" w:asciiTheme="minorEastAsia" w:hAnsiTheme="minorEastAsia" w:eastAsiaTheme="minorEastAsia" w:cstheme="minorEastAsia"/>
          <w:lang w:val="zh-CN"/>
        </w:rPr>
        <w:t>。</w:t>
      </w:r>
    </w:p>
    <w:p w14:paraId="72FE626B">
      <w:pPr>
        <w:pStyle w:val="146"/>
        <w:spacing w:before="156" w:after="156" w:line="400" w:lineRule="atLeast"/>
        <w:ind w:left="0" w:firstLine="0" w:firstLineChars="0"/>
        <w:contextualSpacing/>
        <w:rPr>
          <w:rFonts w:ascii="黑体" w:hAnsi="黑体" w:eastAsia="黑体" w:cs="黑体"/>
        </w:rPr>
      </w:pPr>
      <w:bookmarkStart w:id="76" w:name="_Toc493513162"/>
      <w:bookmarkStart w:id="77" w:name="_Toc493528178"/>
      <w:bookmarkStart w:id="78" w:name="_Toc493513260"/>
      <w:r>
        <w:rPr>
          <w:rFonts w:hint="eastAsia" w:ascii="黑体" w:hAnsi="黑体" w:eastAsia="黑体" w:cs="黑体"/>
        </w:rPr>
        <w:t>12.1</w:t>
      </w:r>
      <w:bookmarkEnd w:id="76"/>
      <w:bookmarkEnd w:id="77"/>
      <w:bookmarkEnd w:id="78"/>
      <w:r>
        <w:rPr>
          <w:rFonts w:hint="eastAsia" w:ascii="黑体" w:hAnsi="黑体" w:eastAsia="黑体" w:cs="黑体"/>
        </w:rPr>
        <w:t xml:space="preserve"> 储藏</w:t>
      </w:r>
    </w:p>
    <w:p w14:paraId="58FF66A6">
      <w:pPr>
        <w:pStyle w:val="146"/>
        <w:spacing w:before="156" w:after="156" w:line="400" w:lineRule="atLeast"/>
        <w:ind w:left="0"/>
        <w:contextualSpacing/>
        <w:rPr>
          <w:rFonts w:asciiTheme="minorEastAsia" w:hAnsiTheme="minorEastAsia" w:eastAsiaTheme="minorEastAsia" w:cstheme="minorEastAsia"/>
        </w:rPr>
      </w:pPr>
      <w:r>
        <w:rPr>
          <w:rFonts w:hint="eastAsia" w:asciiTheme="minorEastAsia" w:hAnsiTheme="minorEastAsia" w:eastAsiaTheme="minorEastAsia" w:cstheme="minorEastAsia"/>
          <w:lang w:val="zh-CN"/>
        </w:rPr>
        <w:t>储藏冷库温度为8</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lang w:val="zh-CN"/>
        </w:rPr>
        <w:t>10℃，空气相对湿度</w:t>
      </w:r>
      <w:r>
        <w:rPr>
          <w:rFonts w:hint="eastAsia" w:asciiTheme="minorEastAsia" w:hAnsiTheme="minorEastAsia" w:eastAsiaTheme="minorEastAsia" w:cstheme="minorEastAsia"/>
        </w:rPr>
        <w:t>90%</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95%</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库内</w:t>
      </w:r>
      <w:r>
        <w:rPr>
          <w:rFonts w:hint="eastAsia" w:asciiTheme="minorEastAsia" w:hAnsiTheme="minorEastAsia" w:eastAsiaTheme="minorEastAsia" w:cstheme="minorEastAsia"/>
          <w:lang w:val="zh-CN"/>
        </w:rPr>
        <w:t>保证</w:t>
      </w:r>
      <w:r>
        <w:rPr>
          <w:rFonts w:hint="eastAsia" w:asciiTheme="minorEastAsia" w:hAnsiTheme="minorEastAsia" w:eastAsiaTheme="minorEastAsia" w:cstheme="minorEastAsia"/>
        </w:rPr>
        <w:t>空气</w:t>
      </w:r>
      <w:r>
        <w:rPr>
          <w:rFonts w:hint="eastAsia" w:asciiTheme="minorEastAsia" w:hAnsiTheme="minorEastAsia" w:eastAsiaTheme="minorEastAsia" w:cstheme="minorEastAsia"/>
          <w:lang w:val="zh-CN"/>
        </w:rPr>
        <w:t>均匀流通，</w:t>
      </w:r>
      <w:r>
        <w:rPr>
          <w:rFonts w:hint="eastAsia" w:asciiTheme="minorEastAsia" w:hAnsiTheme="minorEastAsia" w:eastAsiaTheme="minorEastAsia" w:cstheme="minorEastAsia"/>
        </w:rPr>
        <w:t>库外干净整洁远离污染源</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冷库在丝瓜进场前已经做好消毒、防鼠工作。</w:t>
      </w:r>
    </w:p>
    <w:p w14:paraId="3E14E5A0">
      <w:pPr>
        <w:pStyle w:val="146"/>
        <w:spacing w:before="156" w:after="156" w:line="400" w:lineRule="atLeast"/>
        <w:ind w:left="0" w:firstLine="0" w:firstLineChars="0"/>
        <w:contextualSpacing/>
        <w:rPr>
          <w:rFonts w:ascii="黑体" w:hAnsi="黑体" w:eastAsia="黑体" w:cs="黑体"/>
        </w:rPr>
      </w:pPr>
      <w:r>
        <w:rPr>
          <w:rFonts w:hint="eastAsia" w:ascii="黑体" w:hAnsi="黑体" w:eastAsia="黑体" w:cs="黑体"/>
        </w:rPr>
        <w:t>12.2 运输</w:t>
      </w:r>
    </w:p>
    <w:p w14:paraId="7870D177">
      <w:pPr>
        <w:pStyle w:val="146"/>
        <w:spacing w:before="156" w:after="156" w:line="400" w:lineRule="atLeast"/>
        <w:ind w:left="0"/>
        <w:contextualSpacing/>
        <w:rPr>
          <w:rFonts w:asciiTheme="minorEastAsia" w:hAnsiTheme="minorEastAsia" w:eastAsiaTheme="minorEastAsia" w:cstheme="minorEastAsia"/>
        </w:rPr>
      </w:pPr>
      <w:r>
        <w:rPr>
          <w:rFonts w:hint="eastAsia" w:asciiTheme="minorEastAsia" w:hAnsiTheme="minorEastAsia" w:eastAsiaTheme="minorEastAsia" w:cstheme="minorEastAsia"/>
          <w:lang w:val="zh-CN"/>
        </w:rPr>
        <w:t>运输工具清洁、无污染；装运时轻装、轻卸；运输</w:t>
      </w:r>
      <w:r>
        <w:rPr>
          <w:rFonts w:hint="eastAsia" w:asciiTheme="minorEastAsia" w:hAnsiTheme="minorEastAsia" w:eastAsiaTheme="minorEastAsia" w:cstheme="minorEastAsia"/>
        </w:rPr>
        <w:t>时</w:t>
      </w:r>
      <w:r>
        <w:rPr>
          <w:rFonts w:hint="eastAsia" w:asciiTheme="minorEastAsia" w:hAnsiTheme="minorEastAsia" w:eastAsiaTheme="minorEastAsia" w:cstheme="minorEastAsia"/>
          <w:lang w:val="zh-CN"/>
        </w:rPr>
        <w:t>注意防冻、防雨、防晒，严禁与有害有毒物质混装。</w:t>
      </w:r>
      <w:r>
        <w:rPr>
          <w:rFonts w:hint="eastAsia" w:asciiTheme="minorEastAsia" w:hAnsiTheme="minorEastAsia" w:eastAsiaTheme="minorEastAsia" w:cstheme="minorEastAsia"/>
        </w:rPr>
        <w:t>运输时适宜温度为8～10℃，空气相对湿度90%～95%，保证空气流通。</w:t>
      </w:r>
    </w:p>
    <w:p w14:paraId="3624323D">
      <w:pPr>
        <w:pStyle w:val="2"/>
      </w:pPr>
      <w:r>
        <w:rPr>
          <w:rFonts w:hint="eastAsia"/>
        </w:rPr>
        <w:t>13 生产废弃物处理</w:t>
      </w:r>
    </w:p>
    <w:p w14:paraId="544268C2">
      <w:pPr>
        <w:pStyle w:val="146"/>
        <w:spacing w:before="156" w:after="156" w:line="400" w:lineRule="atLeast"/>
        <w:ind w:left="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生产中使用过的农药包装袋（瓶）应及时收集，交于有关部门进行无害化处理；地膜等应集中回收再生利用；架材、滴灌带应及时回收再次使用；植株残体可集中销毁无害化处理。</w:t>
      </w:r>
    </w:p>
    <w:p w14:paraId="7D50E180">
      <w:pPr>
        <w:pStyle w:val="2"/>
      </w:pPr>
      <w:r>
        <w:rPr>
          <w:rFonts w:hint="eastAsia"/>
        </w:rPr>
        <w:t>14 生产记录档案管理</w:t>
      </w:r>
    </w:p>
    <w:p w14:paraId="0A8C3334">
      <w:pPr>
        <w:pStyle w:val="146"/>
        <w:spacing w:before="156" w:after="156" w:line="400" w:lineRule="atLeast"/>
        <w:ind w:left="0"/>
        <w:contextualSpacing/>
      </w:pPr>
      <w:r>
        <w:rPr>
          <w:rFonts w:hint="eastAsia" w:asciiTheme="minorEastAsia" w:hAnsiTheme="minorEastAsia" w:eastAsiaTheme="minorEastAsia" w:cstheme="minorEastAsia"/>
          <w:lang w:val="zh-CN"/>
        </w:rPr>
        <w:t>建立绿色食品</w:t>
      </w:r>
      <w:r>
        <w:rPr>
          <w:rFonts w:hint="eastAsia" w:asciiTheme="minorEastAsia" w:hAnsiTheme="minorEastAsia" w:eastAsiaTheme="minorEastAsia" w:cstheme="minorEastAsia"/>
        </w:rPr>
        <w:t>丝瓜</w:t>
      </w:r>
      <w:r>
        <w:rPr>
          <w:rFonts w:hint="eastAsia" w:asciiTheme="minorEastAsia" w:hAnsiTheme="minorEastAsia" w:eastAsiaTheme="minorEastAsia" w:cstheme="minorEastAsia"/>
          <w:lang w:val="zh-CN"/>
        </w:rPr>
        <w:t>生产档案，详细记录产地环境条件、生产管理</w:t>
      </w:r>
      <w:r>
        <w:rPr>
          <w:rFonts w:hint="eastAsia" w:asciiTheme="minorEastAsia" w:hAnsiTheme="minorEastAsia" w:eastAsiaTheme="minorEastAsia" w:cstheme="minorEastAsia"/>
        </w:rPr>
        <w:t>措施</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农药和肥料等投入品购置和使用、储运和销售等情况；所有记录应真实、准确、规范，并具有可追溯性。生产档案应有专人专柜保管，</w:t>
      </w:r>
      <w:r>
        <w:rPr>
          <w:rFonts w:hint="eastAsia" w:asciiTheme="minorEastAsia" w:hAnsiTheme="minorEastAsia" w:eastAsiaTheme="minorEastAsia" w:cstheme="minorEastAsia"/>
          <w:lang w:val="zh-CN"/>
        </w:rPr>
        <w:t>记录</w:t>
      </w:r>
      <w:r>
        <w:rPr>
          <w:rFonts w:hint="eastAsia" w:asciiTheme="minorEastAsia" w:hAnsiTheme="minorEastAsia" w:eastAsiaTheme="minorEastAsia" w:cstheme="minorEastAsia"/>
        </w:rPr>
        <w:t>资料需</w:t>
      </w:r>
      <w:r>
        <w:rPr>
          <w:rFonts w:hint="eastAsia" w:asciiTheme="minorEastAsia" w:hAnsiTheme="minorEastAsia" w:eastAsiaTheme="minorEastAsia" w:cstheme="minorEastAsia"/>
          <w:lang w:val="zh-CN"/>
        </w:rPr>
        <w:t>保存3</w:t>
      </w:r>
      <w:r>
        <w:rPr>
          <w:rFonts w:hint="eastAsia" w:asciiTheme="minorEastAsia" w:hAnsiTheme="minorEastAsia" w:eastAsiaTheme="minorEastAsia" w:cstheme="minorEastAsia"/>
        </w:rPr>
        <w:t>年</w:t>
      </w:r>
      <w:r>
        <w:rPr>
          <w:rFonts w:hint="eastAsia" w:asciiTheme="minorEastAsia" w:hAnsiTheme="minorEastAsia" w:eastAsiaTheme="minorEastAsia" w:cstheme="minorEastAsia"/>
          <w:lang w:val="zh-CN"/>
        </w:rPr>
        <w:t>以上。</w:t>
      </w:r>
      <w:r>
        <w:br w:type="page"/>
      </w:r>
    </w:p>
    <w:p w14:paraId="20E9A641">
      <w:pPr>
        <w:pStyle w:val="146"/>
        <w:spacing w:before="156" w:after="156" w:line="400" w:lineRule="atLeast"/>
        <w:ind w:left="0" w:firstLine="0" w:firstLineChars="0"/>
        <w:contextualSpacing/>
        <w:jc w:val="center"/>
        <w:rPr>
          <w:rFonts w:ascii="黑体" w:hAnsi="黑体" w:eastAsia="黑体"/>
        </w:rPr>
      </w:pPr>
      <w:r>
        <w:rPr>
          <w:rFonts w:hint="eastAsia" w:ascii="黑体" w:hAnsi="黑体" w:eastAsia="黑体"/>
        </w:rPr>
        <w:t>附 录 A</w:t>
      </w:r>
      <w:bookmarkStart w:id="79" w:name="_Toc493528180"/>
    </w:p>
    <w:p w14:paraId="3723F783">
      <w:pPr>
        <w:jc w:val="center"/>
        <w:rPr>
          <w:rFonts w:ascii="黑体" w:hAnsi="黑体" w:eastAsia="黑体"/>
          <w:kern w:val="0"/>
          <w:szCs w:val="20"/>
        </w:rPr>
      </w:pPr>
      <w:r>
        <w:rPr>
          <w:rFonts w:ascii="黑体" w:hAnsi="黑体" w:eastAsia="黑体"/>
          <w:kern w:val="0"/>
          <w:szCs w:val="20"/>
        </w:rPr>
        <w:t>（资料性附录）</w:t>
      </w:r>
    </w:p>
    <w:p w14:paraId="5F4F4179">
      <w:pPr>
        <w:jc w:val="center"/>
        <w:rPr>
          <w:rFonts w:ascii="黑体" w:hAnsi="黑体" w:eastAsia="黑体"/>
          <w:kern w:val="0"/>
          <w:szCs w:val="20"/>
        </w:rPr>
      </w:pPr>
      <w:r>
        <w:rPr>
          <w:rFonts w:hint="eastAsia" w:ascii="黑体" w:hAnsi="黑体" w:eastAsia="黑体"/>
          <w:kern w:val="0"/>
          <w:szCs w:val="20"/>
        </w:rPr>
        <w:t>南方地区</w:t>
      </w:r>
      <w:r>
        <w:rPr>
          <w:rFonts w:ascii="黑体" w:hAnsi="黑体" w:eastAsia="黑体"/>
          <w:kern w:val="0"/>
          <w:szCs w:val="20"/>
        </w:rPr>
        <w:t>绿色食品</w:t>
      </w:r>
      <w:r>
        <w:rPr>
          <w:rFonts w:hint="eastAsia" w:ascii="黑体" w:hAnsi="黑体" w:eastAsia="黑体"/>
          <w:kern w:val="0"/>
          <w:szCs w:val="20"/>
        </w:rPr>
        <w:t>露地丝</w:t>
      </w:r>
      <w:r>
        <w:rPr>
          <w:rFonts w:ascii="黑体" w:hAnsi="黑体" w:eastAsia="黑体"/>
          <w:kern w:val="0"/>
          <w:szCs w:val="20"/>
        </w:rPr>
        <w:t>瓜</w:t>
      </w:r>
      <w:r>
        <w:rPr>
          <w:rFonts w:hint="eastAsia" w:ascii="黑体" w:hAnsi="黑体" w:eastAsia="黑体"/>
          <w:kern w:val="0"/>
          <w:szCs w:val="20"/>
        </w:rPr>
        <w:t>生产主要病虫害防治推荐农药</w:t>
      </w:r>
      <w:r>
        <w:rPr>
          <w:rFonts w:ascii="黑体" w:hAnsi="黑体" w:eastAsia="黑体"/>
          <w:kern w:val="0"/>
          <w:szCs w:val="20"/>
        </w:rPr>
        <w:t>使用</w:t>
      </w:r>
      <w:r>
        <w:rPr>
          <w:rFonts w:hint="eastAsia" w:ascii="黑体" w:hAnsi="黑体" w:eastAsia="黑体"/>
          <w:kern w:val="0"/>
          <w:szCs w:val="20"/>
        </w:rPr>
        <w:t>方案</w:t>
      </w:r>
      <w:bookmarkEnd w:id="79"/>
    </w:p>
    <w:p w14:paraId="18546DA7">
      <w:pPr>
        <w:jc w:val="center"/>
        <w:rPr>
          <w:rFonts w:ascii="黑体" w:eastAsia="黑体"/>
          <w:kern w:val="0"/>
          <w:szCs w:val="20"/>
        </w:rPr>
      </w:pPr>
    </w:p>
    <w:p w14:paraId="1E420B57">
      <w:pPr>
        <w:ind w:firstLine="420" w:firstLineChars="200"/>
        <w:jc w:val="left"/>
        <w:rPr>
          <w:rFonts w:asciiTheme="minorEastAsia" w:hAnsiTheme="minorEastAsia" w:eastAsiaTheme="minorEastAsia"/>
          <w:kern w:val="0"/>
          <w:szCs w:val="20"/>
        </w:rPr>
      </w:pPr>
      <w:r>
        <w:rPr>
          <w:rFonts w:hint="eastAsia" w:asciiTheme="minorEastAsia" w:hAnsiTheme="minorEastAsia" w:eastAsiaTheme="minorEastAsia"/>
          <w:kern w:val="0"/>
          <w:szCs w:val="20"/>
        </w:rPr>
        <w:t>南方地区绿色食品露地丝瓜生产主要病虫害防治推荐农药使用方案见表A.1。</w:t>
      </w:r>
    </w:p>
    <w:p w14:paraId="586A8C8F">
      <w:pPr>
        <w:ind w:firstLine="420" w:firstLineChars="200"/>
        <w:jc w:val="left"/>
        <w:rPr>
          <w:rFonts w:asciiTheme="minorEastAsia" w:hAnsiTheme="minorEastAsia" w:eastAsiaTheme="minorEastAsia"/>
          <w:kern w:val="0"/>
          <w:szCs w:val="20"/>
        </w:rPr>
      </w:pPr>
    </w:p>
    <w:p w14:paraId="21090EFB">
      <w:pPr>
        <w:jc w:val="center"/>
        <w:rPr>
          <w:rFonts w:ascii="黑体" w:eastAsia="黑体"/>
          <w:kern w:val="0"/>
          <w:szCs w:val="20"/>
        </w:rPr>
      </w:pPr>
      <w:r>
        <w:rPr>
          <w:rFonts w:hint="eastAsia" w:ascii="黑体" w:eastAsia="黑体"/>
          <w:kern w:val="0"/>
          <w:szCs w:val="20"/>
        </w:rPr>
        <w:t>表A.1 南方地区</w:t>
      </w:r>
      <w:r>
        <w:rPr>
          <w:rFonts w:ascii="黑体" w:eastAsia="黑体"/>
          <w:kern w:val="0"/>
          <w:szCs w:val="20"/>
        </w:rPr>
        <w:t>绿色食品</w:t>
      </w:r>
      <w:r>
        <w:rPr>
          <w:rFonts w:hint="eastAsia" w:ascii="黑体" w:eastAsia="黑体"/>
          <w:kern w:val="0"/>
          <w:szCs w:val="20"/>
        </w:rPr>
        <w:t>露地丝</w:t>
      </w:r>
      <w:r>
        <w:rPr>
          <w:rFonts w:ascii="黑体" w:eastAsia="黑体"/>
          <w:kern w:val="0"/>
          <w:szCs w:val="20"/>
        </w:rPr>
        <w:t>瓜</w:t>
      </w:r>
      <w:r>
        <w:rPr>
          <w:rFonts w:hint="eastAsia" w:ascii="黑体" w:eastAsia="黑体"/>
          <w:kern w:val="0"/>
          <w:szCs w:val="20"/>
        </w:rPr>
        <w:t>生产主要病虫害防治推荐农药</w:t>
      </w:r>
      <w:r>
        <w:rPr>
          <w:rFonts w:ascii="黑体" w:eastAsia="黑体"/>
          <w:kern w:val="0"/>
          <w:szCs w:val="20"/>
        </w:rPr>
        <w:t>使用</w:t>
      </w:r>
      <w:r>
        <w:rPr>
          <w:rFonts w:hint="eastAsia" w:ascii="黑体" w:eastAsia="黑体"/>
          <w:kern w:val="0"/>
          <w:szCs w:val="20"/>
        </w:rPr>
        <w:t>方案</w:t>
      </w:r>
    </w:p>
    <w:tbl>
      <w:tblPr>
        <w:tblStyle w:val="32"/>
        <w:tblW w:w="88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7"/>
        <w:gridCol w:w="1102"/>
        <w:gridCol w:w="1974"/>
        <w:gridCol w:w="2188"/>
        <w:gridCol w:w="1207"/>
        <w:gridCol w:w="1282"/>
      </w:tblGrid>
      <w:tr w14:paraId="5DEA7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7" w:type="dxa"/>
            <w:tcBorders>
              <w:top w:val="single" w:color="auto" w:sz="4" w:space="0"/>
              <w:left w:val="single" w:color="auto" w:sz="4" w:space="0"/>
              <w:bottom w:val="single" w:color="auto" w:sz="4" w:space="0"/>
              <w:right w:val="single" w:color="auto" w:sz="4" w:space="0"/>
            </w:tcBorders>
            <w:vAlign w:val="center"/>
          </w:tcPr>
          <w:p w14:paraId="67A28034">
            <w:pPr>
              <w:widowControl/>
              <w:adjustRightInd w:val="0"/>
              <w:snapToGrid w:val="0"/>
              <w:jc w:val="center"/>
              <w:rPr>
                <w:rFonts w:ascii="宋体" w:hAnsi="宋体" w:cs="宋体"/>
                <w:b/>
                <w:color w:val="000000"/>
                <w:kern w:val="0"/>
                <w:szCs w:val="21"/>
              </w:rPr>
            </w:pPr>
            <w:r>
              <w:rPr>
                <w:rFonts w:hint="eastAsia" w:ascii="宋体" w:hAnsi="宋体" w:cs="宋体"/>
                <w:b/>
                <w:color w:val="000000"/>
                <w:kern w:val="0"/>
                <w:szCs w:val="21"/>
              </w:rPr>
              <w:t>防治对象</w:t>
            </w:r>
          </w:p>
        </w:tc>
        <w:tc>
          <w:tcPr>
            <w:tcW w:w="1102" w:type="dxa"/>
            <w:tcBorders>
              <w:top w:val="single" w:color="auto" w:sz="4" w:space="0"/>
              <w:left w:val="single" w:color="auto" w:sz="4" w:space="0"/>
              <w:bottom w:val="single" w:color="auto" w:sz="4" w:space="0"/>
              <w:right w:val="single" w:color="auto" w:sz="4" w:space="0"/>
            </w:tcBorders>
            <w:vAlign w:val="center"/>
          </w:tcPr>
          <w:p w14:paraId="05BBC405">
            <w:pPr>
              <w:widowControl/>
              <w:adjustRightInd w:val="0"/>
              <w:snapToGrid w:val="0"/>
              <w:jc w:val="center"/>
              <w:rPr>
                <w:rFonts w:ascii="宋体" w:hAnsi="宋体" w:cs="宋体"/>
                <w:b/>
                <w:color w:val="000000"/>
                <w:kern w:val="0"/>
                <w:szCs w:val="21"/>
                <w:u w:val="double"/>
              </w:rPr>
            </w:pPr>
            <w:r>
              <w:rPr>
                <w:rFonts w:hint="eastAsia" w:ascii="宋体" w:hAnsi="宋体" w:cs="宋体"/>
                <w:b/>
                <w:color w:val="000000"/>
                <w:kern w:val="0"/>
                <w:szCs w:val="21"/>
              </w:rPr>
              <w:t>防治时期</w:t>
            </w:r>
          </w:p>
        </w:tc>
        <w:tc>
          <w:tcPr>
            <w:tcW w:w="1974" w:type="dxa"/>
            <w:tcBorders>
              <w:top w:val="single" w:color="auto" w:sz="4" w:space="0"/>
              <w:left w:val="single" w:color="auto" w:sz="4" w:space="0"/>
              <w:bottom w:val="single" w:color="auto" w:sz="4" w:space="0"/>
              <w:right w:val="single" w:color="auto" w:sz="4" w:space="0"/>
            </w:tcBorders>
            <w:vAlign w:val="center"/>
          </w:tcPr>
          <w:p w14:paraId="4350A720">
            <w:pPr>
              <w:widowControl/>
              <w:adjustRightInd w:val="0"/>
              <w:snapToGrid w:val="0"/>
              <w:jc w:val="center"/>
              <w:rPr>
                <w:rFonts w:ascii="宋体" w:hAnsi="宋体" w:cs="宋体"/>
                <w:b/>
                <w:color w:val="000000"/>
                <w:kern w:val="0"/>
                <w:szCs w:val="21"/>
              </w:rPr>
            </w:pPr>
            <w:r>
              <w:rPr>
                <w:rFonts w:hint="eastAsia" w:ascii="宋体" w:hAnsi="宋体" w:cs="宋体"/>
                <w:b/>
                <w:color w:val="000000"/>
                <w:kern w:val="0"/>
                <w:szCs w:val="21"/>
              </w:rPr>
              <w:t>农药名称</w:t>
            </w:r>
          </w:p>
        </w:tc>
        <w:tc>
          <w:tcPr>
            <w:tcW w:w="2188" w:type="dxa"/>
            <w:tcBorders>
              <w:top w:val="single" w:color="auto" w:sz="4" w:space="0"/>
              <w:left w:val="single" w:color="auto" w:sz="4" w:space="0"/>
              <w:bottom w:val="single" w:color="auto" w:sz="4" w:space="0"/>
              <w:right w:val="single" w:color="auto" w:sz="4" w:space="0"/>
            </w:tcBorders>
            <w:vAlign w:val="center"/>
          </w:tcPr>
          <w:p w14:paraId="443F3351">
            <w:pPr>
              <w:widowControl/>
              <w:adjustRightInd w:val="0"/>
              <w:snapToGrid w:val="0"/>
              <w:jc w:val="center"/>
              <w:rPr>
                <w:rFonts w:ascii="宋体" w:hAnsi="宋体" w:cs="宋体"/>
                <w:b/>
                <w:color w:val="000000"/>
                <w:kern w:val="0"/>
                <w:szCs w:val="21"/>
              </w:rPr>
            </w:pPr>
            <w:r>
              <w:rPr>
                <w:rFonts w:hint="eastAsia" w:ascii="宋体" w:hAnsi="宋体" w:cs="宋体"/>
                <w:b/>
                <w:color w:val="000000"/>
                <w:kern w:val="0"/>
                <w:szCs w:val="21"/>
              </w:rPr>
              <w:t>使用剂量</w:t>
            </w:r>
          </w:p>
        </w:tc>
        <w:tc>
          <w:tcPr>
            <w:tcW w:w="1207" w:type="dxa"/>
            <w:tcBorders>
              <w:top w:val="single" w:color="auto" w:sz="4" w:space="0"/>
              <w:left w:val="single" w:color="auto" w:sz="4" w:space="0"/>
              <w:bottom w:val="single" w:color="auto" w:sz="4" w:space="0"/>
              <w:right w:val="single" w:color="auto" w:sz="4" w:space="0"/>
            </w:tcBorders>
            <w:vAlign w:val="center"/>
          </w:tcPr>
          <w:p w14:paraId="2A148DD4">
            <w:pPr>
              <w:widowControl/>
              <w:adjustRightInd w:val="0"/>
              <w:snapToGrid w:val="0"/>
              <w:jc w:val="center"/>
              <w:rPr>
                <w:rFonts w:ascii="宋体" w:hAnsi="宋体" w:cs="宋体"/>
                <w:b/>
                <w:color w:val="000000"/>
                <w:kern w:val="0"/>
                <w:szCs w:val="21"/>
              </w:rPr>
            </w:pPr>
            <w:r>
              <w:rPr>
                <w:rFonts w:hint="eastAsia" w:ascii="宋体" w:hAnsi="宋体" w:cs="宋体"/>
                <w:b/>
                <w:color w:val="000000"/>
                <w:kern w:val="0"/>
                <w:szCs w:val="21"/>
              </w:rPr>
              <w:t>施药方法</w:t>
            </w:r>
          </w:p>
        </w:tc>
        <w:tc>
          <w:tcPr>
            <w:tcW w:w="1282" w:type="dxa"/>
            <w:tcBorders>
              <w:top w:val="single" w:color="auto" w:sz="4" w:space="0"/>
              <w:left w:val="single" w:color="auto" w:sz="4" w:space="0"/>
              <w:bottom w:val="single" w:color="auto" w:sz="4" w:space="0"/>
              <w:right w:val="single" w:color="auto" w:sz="4" w:space="0"/>
            </w:tcBorders>
            <w:vAlign w:val="center"/>
          </w:tcPr>
          <w:p w14:paraId="0B15C89D">
            <w:pPr>
              <w:widowControl/>
              <w:adjustRightInd w:val="0"/>
              <w:snapToGrid w:val="0"/>
              <w:jc w:val="center"/>
              <w:rPr>
                <w:rFonts w:ascii="宋体" w:hAnsi="宋体" w:cs="宋体"/>
                <w:b/>
                <w:color w:val="000000"/>
                <w:kern w:val="0"/>
                <w:szCs w:val="21"/>
              </w:rPr>
            </w:pPr>
            <w:r>
              <w:rPr>
                <w:rFonts w:hint="eastAsia" w:ascii="宋体" w:hAnsi="宋体" w:cs="宋体"/>
                <w:b/>
                <w:color w:val="000000"/>
                <w:kern w:val="0"/>
                <w:szCs w:val="21"/>
              </w:rPr>
              <w:t>安全间隔期（d）</w:t>
            </w:r>
          </w:p>
        </w:tc>
      </w:tr>
      <w:tr w14:paraId="51296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7" w:type="dxa"/>
            <w:vMerge w:val="restart"/>
            <w:tcBorders>
              <w:left w:val="single" w:color="auto" w:sz="4" w:space="0"/>
              <w:right w:val="single" w:color="auto" w:sz="4" w:space="0"/>
            </w:tcBorders>
            <w:vAlign w:val="center"/>
          </w:tcPr>
          <w:p w14:paraId="03120C24">
            <w:pPr>
              <w:widowControl/>
              <w:adjustRightInd w:val="0"/>
              <w:snapToGrid w:val="0"/>
              <w:jc w:val="center"/>
              <w:rPr>
                <w:rFonts w:ascii="宋体" w:hAnsi="宋体" w:cs="宋体"/>
                <w:kern w:val="0"/>
                <w:szCs w:val="21"/>
              </w:rPr>
            </w:pPr>
            <w:r>
              <w:rPr>
                <w:rFonts w:hint="eastAsia" w:ascii="宋体" w:hAnsi="宋体" w:cs="宋体"/>
                <w:kern w:val="0"/>
                <w:szCs w:val="21"/>
              </w:rPr>
              <w:t>霜霉病</w:t>
            </w:r>
          </w:p>
        </w:tc>
        <w:tc>
          <w:tcPr>
            <w:tcW w:w="1102" w:type="dxa"/>
            <w:vMerge w:val="restart"/>
            <w:tcBorders>
              <w:left w:val="single" w:color="auto" w:sz="4" w:space="0"/>
              <w:right w:val="single" w:color="auto" w:sz="4" w:space="0"/>
            </w:tcBorders>
            <w:vAlign w:val="center"/>
          </w:tcPr>
          <w:p w14:paraId="521A10B4">
            <w:pPr>
              <w:widowControl/>
              <w:adjustRightInd w:val="0"/>
              <w:snapToGrid w:val="0"/>
              <w:jc w:val="center"/>
              <w:rPr>
                <w:rFonts w:ascii="宋体" w:hAnsi="宋体" w:cs="宋体"/>
                <w:kern w:val="0"/>
                <w:szCs w:val="21"/>
                <w:lang w:val="zh-CN"/>
              </w:rPr>
            </w:pPr>
            <w:r>
              <w:rPr>
                <w:rFonts w:hint="eastAsia" w:ascii="宋体" w:hAnsi="宋体" w:cs="宋体"/>
                <w:kern w:val="0"/>
                <w:szCs w:val="21"/>
                <w:lang w:val="zh-CN"/>
              </w:rPr>
              <w:t>发生初期</w:t>
            </w:r>
          </w:p>
        </w:tc>
        <w:tc>
          <w:tcPr>
            <w:tcW w:w="1974" w:type="dxa"/>
            <w:tcBorders>
              <w:top w:val="single" w:color="auto" w:sz="4" w:space="0"/>
              <w:left w:val="single" w:color="auto" w:sz="4" w:space="0"/>
              <w:bottom w:val="single" w:color="auto" w:sz="4" w:space="0"/>
              <w:right w:val="single" w:color="auto" w:sz="4" w:space="0"/>
            </w:tcBorders>
            <w:vAlign w:val="center"/>
          </w:tcPr>
          <w:p w14:paraId="4E5EE304">
            <w:pPr>
              <w:widowControl/>
              <w:adjustRightInd w:val="0"/>
              <w:snapToGrid w:val="0"/>
              <w:jc w:val="center"/>
              <w:rPr>
                <w:rFonts w:ascii="宋体" w:hAnsi="宋体" w:cs="宋体"/>
                <w:kern w:val="0"/>
                <w:szCs w:val="21"/>
                <w:lang w:val="zh-CN"/>
              </w:rPr>
            </w:pPr>
            <w:r>
              <w:rPr>
                <w:rFonts w:hint="eastAsia" w:ascii="宋体" w:hAnsi="宋体" w:cs="宋体"/>
                <w:color w:val="333333"/>
                <w:szCs w:val="21"/>
                <w:shd w:val="clear" w:color="auto" w:fill="FFFFFF"/>
              </w:rPr>
              <w:t>250g/l嘧菌酯悬浮剂</w:t>
            </w:r>
          </w:p>
        </w:tc>
        <w:tc>
          <w:tcPr>
            <w:tcW w:w="2188" w:type="dxa"/>
            <w:tcBorders>
              <w:top w:val="single" w:color="auto" w:sz="4" w:space="0"/>
              <w:left w:val="single" w:color="auto" w:sz="4" w:space="0"/>
              <w:bottom w:val="single" w:color="auto" w:sz="4" w:space="0"/>
              <w:right w:val="single" w:color="auto" w:sz="4" w:space="0"/>
            </w:tcBorders>
            <w:vAlign w:val="center"/>
          </w:tcPr>
          <w:p w14:paraId="0ABAD700">
            <w:pPr>
              <w:widowControl/>
              <w:adjustRightInd w:val="0"/>
              <w:snapToGrid w:val="0"/>
              <w:jc w:val="center"/>
              <w:rPr>
                <w:rFonts w:ascii="宋体" w:hAnsi="宋体" w:cs="宋体"/>
                <w:color w:val="000000" w:themeColor="text1"/>
                <w:kern w:val="0"/>
                <w:szCs w:val="21"/>
                <w:lang w:val="zh-CN"/>
                <w14:textFill>
                  <w14:solidFill>
                    <w14:schemeClr w14:val="tx1"/>
                  </w14:solidFill>
                </w14:textFill>
              </w:rPr>
            </w:pPr>
            <w:r>
              <w:rPr>
                <w:rFonts w:hint="eastAsia" w:ascii="宋体" w:hAnsi="宋体" w:cs="宋体"/>
                <w:color w:val="333333"/>
                <w:szCs w:val="21"/>
                <w:shd w:val="clear" w:color="auto" w:fill="FFFFFF"/>
              </w:rPr>
              <w:t>48ml/亩</w:t>
            </w:r>
            <w:r>
              <w:rPr>
                <w:rFonts w:hint="eastAsia" w:ascii="宋体" w:hAnsi="宋体" w:cs="宋体"/>
                <w:color w:val="000000" w:themeColor="text1"/>
                <w:kern w:val="0"/>
                <w:szCs w:val="21"/>
                <w14:textFill>
                  <w14:solidFill>
                    <w14:schemeClr w14:val="tx1"/>
                  </w14:solidFill>
                </w14:textFill>
              </w:rPr>
              <w:t>～</w:t>
            </w:r>
            <w:r>
              <w:rPr>
                <w:rFonts w:hint="eastAsia" w:ascii="宋体" w:hAnsi="宋体" w:cs="宋体"/>
                <w:color w:val="333333"/>
                <w:szCs w:val="21"/>
                <w:shd w:val="clear" w:color="auto" w:fill="FFFFFF"/>
              </w:rPr>
              <w:t>90ml/亩</w:t>
            </w:r>
          </w:p>
        </w:tc>
        <w:tc>
          <w:tcPr>
            <w:tcW w:w="1207" w:type="dxa"/>
            <w:tcBorders>
              <w:top w:val="single" w:color="auto" w:sz="4" w:space="0"/>
              <w:left w:val="single" w:color="auto" w:sz="4" w:space="0"/>
              <w:bottom w:val="single" w:color="auto" w:sz="4" w:space="0"/>
              <w:right w:val="single" w:color="auto" w:sz="4" w:space="0"/>
            </w:tcBorders>
            <w:vAlign w:val="center"/>
          </w:tcPr>
          <w:p w14:paraId="38F38627">
            <w:pPr>
              <w:widowControl/>
              <w:adjustRightInd w:val="0"/>
              <w:snapToGrid w:val="0"/>
              <w:jc w:val="center"/>
              <w:rPr>
                <w:rFonts w:ascii="宋体" w:hAnsi="宋体" w:cs="宋体"/>
                <w:kern w:val="0"/>
                <w:szCs w:val="21"/>
                <w:lang w:val="zh-CN"/>
              </w:rPr>
            </w:pPr>
            <w:r>
              <w:rPr>
                <w:rFonts w:hint="eastAsia" w:ascii="宋体" w:hAnsi="宋体" w:cs="宋体"/>
                <w:kern w:val="0"/>
                <w:szCs w:val="21"/>
              </w:rPr>
              <w:t>喷雾</w:t>
            </w:r>
          </w:p>
        </w:tc>
        <w:tc>
          <w:tcPr>
            <w:tcW w:w="1282" w:type="dxa"/>
            <w:tcBorders>
              <w:top w:val="single" w:color="auto" w:sz="4" w:space="0"/>
              <w:left w:val="single" w:color="auto" w:sz="4" w:space="0"/>
              <w:bottom w:val="single" w:color="auto" w:sz="4" w:space="0"/>
              <w:right w:val="single" w:color="auto" w:sz="4" w:space="0"/>
            </w:tcBorders>
            <w:vAlign w:val="center"/>
          </w:tcPr>
          <w:p w14:paraId="187FE28E">
            <w:pPr>
              <w:widowControl/>
              <w:adjustRightInd w:val="0"/>
              <w:snapToGrid w:val="0"/>
              <w:jc w:val="center"/>
              <w:rPr>
                <w:rFonts w:ascii="宋体" w:hAnsi="宋体" w:cs="宋体"/>
                <w:kern w:val="0"/>
                <w:szCs w:val="21"/>
              </w:rPr>
            </w:pPr>
            <w:r>
              <w:rPr>
                <w:rFonts w:hint="eastAsia" w:ascii="宋体" w:hAnsi="宋体" w:cs="宋体"/>
                <w:kern w:val="0"/>
                <w:szCs w:val="21"/>
              </w:rPr>
              <w:t>7</w:t>
            </w:r>
          </w:p>
        </w:tc>
      </w:tr>
      <w:tr w14:paraId="4FF9B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7" w:type="dxa"/>
            <w:vMerge w:val="continue"/>
            <w:tcBorders>
              <w:left w:val="single" w:color="auto" w:sz="4" w:space="0"/>
              <w:right w:val="single" w:color="auto" w:sz="4" w:space="0"/>
            </w:tcBorders>
            <w:vAlign w:val="center"/>
          </w:tcPr>
          <w:p w14:paraId="7EAD047F">
            <w:pPr>
              <w:widowControl/>
              <w:adjustRightInd w:val="0"/>
              <w:snapToGrid w:val="0"/>
              <w:jc w:val="center"/>
              <w:rPr>
                <w:rFonts w:ascii="宋体" w:hAnsi="宋体" w:cs="宋体"/>
                <w:kern w:val="0"/>
                <w:szCs w:val="21"/>
              </w:rPr>
            </w:pPr>
          </w:p>
        </w:tc>
        <w:tc>
          <w:tcPr>
            <w:tcW w:w="1102" w:type="dxa"/>
            <w:vMerge w:val="continue"/>
            <w:tcBorders>
              <w:left w:val="single" w:color="auto" w:sz="4" w:space="0"/>
              <w:right w:val="single" w:color="auto" w:sz="4" w:space="0"/>
            </w:tcBorders>
            <w:vAlign w:val="center"/>
          </w:tcPr>
          <w:p w14:paraId="7C88FAAE">
            <w:pPr>
              <w:widowControl/>
              <w:adjustRightInd w:val="0"/>
              <w:snapToGrid w:val="0"/>
              <w:jc w:val="center"/>
              <w:rPr>
                <w:rFonts w:ascii="宋体" w:hAnsi="宋体" w:cs="宋体"/>
                <w:kern w:val="0"/>
                <w:szCs w:val="21"/>
                <w:lang w:val="zh-CN"/>
              </w:rPr>
            </w:pPr>
          </w:p>
        </w:tc>
        <w:tc>
          <w:tcPr>
            <w:tcW w:w="1974" w:type="dxa"/>
            <w:tcBorders>
              <w:top w:val="single" w:color="auto" w:sz="4" w:space="0"/>
              <w:left w:val="single" w:color="auto" w:sz="4" w:space="0"/>
              <w:bottom w:val="single" w:color="auto" w:sz="4" w:space="0"/>
              <w:right w:val="single" w:color="auto" w:sz="4" w:space="0"/>
            </w:tcBorders>
            <w:vAlign w:val="center"/>
          </w:tcPr>
          <w:p w14:paraId="19FC9AC1">
            <w:pPr>
              <w:widowControl/>
              <w:adjustRightInd w:val="0"/>
              <w:snapToGrid w:val="0"/>
              <w:jc w:val="center"/>
              <w:rPr>
                <w:rFonts w:ascii="宋体" w:hAnsi="宋体" w:cs="宋体"/>
                <w:color w:val="333333"/>
                <w:szCs w:val="21"/>
                <w:shd w:val="clear" w:color="auto" w:fill="FFFFFF"/>
              </w:rPr>
            </w:pPr>
            <w:r>
              <w:rPr>
                <w:rFonts w:hint="eastAsia" w:ascii="宋体" w:hAnsi="宋体" w:cs="宋体"/>
                <w:color w:val="333333"/>
                <w:szCs w:val="21"/>
                <w:shd w:val="clear" w:color="auto" w:fill="FFFFFF"/>
              </w:rPr>
              <w:t>33%唑醚·锰锌悬浮剂</w:t>
            </w:r>
          </w:p>
        </w:tc>
        <w:tc>
          <w:tcPr>
            <w:tcW w:w="2188" w:type="dxa"/>
            <w:tcBorders>
              <w:top w:val="single" w:color="auto" w:sz="4" w:space="0"/>
              <w:left w:val="single" w:color="auto" w:sz="4" w:space="0"/>
              <w:bottom w:val="single" w:color="auto" w:sz="4" w:space="0"/>
              <w:right w:val="single" w:color="auto" w:sz="4" w:space="0"/>
            </w:tcBorders>
            <w:vAlign w:val="center"/>
          </w:tcPr>
          <w:p w14:paraId="2D21FB16">
            <w:pPr>
              <w:widowControl/>
              <w:adjustRightInd w:val="0"/>
              <w:snapToGrid w:val="0"/>
              <w:jc w:val="center"/>
              <w:rPr>
                <w:rFonts w:ascii="宋体" w:hAnsi="宋体" w:cs="宋体"/>
                <w:color w:val="333333"/>
                <w:szCs w:val="21"/>
                <w:shd w:val="clear" w:color="auto" w:fill="FFFFFF"/>
              </w:rPr>
            </w:pPr>
            <w:r>
              <w:rPr>
                <w:rFonts w:hint="eastAsia" w:ascii="宋体" w:hAnsi="宋体" w:cs="宋体"/>
                <w:color w:val="333333"/>
                <w:szCs w:val="21"/>
                <w:shd w:val="clear" w:color="auto" w:fill="FFFFFF"/>
              </w:rPr>
              <w:t>100ml/亩</w:t>
            </w:r>
            <w:r>
              <w:rPr>
                <w:rFonts w:hint="eastAsia" w:ascii="宋体" w:hAnsi="宋体" w:cs="宋体"/>
                <w:color w:val="000000" w:themeColor="text1"/>
                <w:kern w:val="0"/>
                <w:szCs w:val="21"/>
                <w14:textFill>
                  <w14:solidFill>
                    <w14:schemeClr w14:val="tx1"/>
                  </w14:solidFill>
                </w14:textFill>
              </w:rPr>
              <w:t>～</w:t>
            </w:r>
            <w:r>
              <w:rPr>
                <w:rFonts w:hint="eastAsia" w:ascii="宋体" w:hAnsi="宋体" w:cs="宋体"/>
                <w:color w:val="333333"/>
                <w:szCs w:val="21"/>
                <w:shd w:val="clear" w:color="auto" w:fill="FFFFFF"/>
              </w:rPr>
              <w:t>140ml/亩</w:t>
            </w:r>
          </w:p>
        </w:tc>
        <w:tc>
          <w:tcPr>
            <w:tcW w:w="1207" w:type="dxa"/>
            <w:tcBorders>
              <w:top w:val="single" w:color="auto" w:sz="4" w:space="0"/>
              <w:left w:val="single" w:color="auto" w:sz="4" w:space="0"/>
              <w:bottom w:val="single" w:color="auto" w:sz="4" w:space="0"/>
              <w:right w:val="single" w:color="auto" w:sz="4" w:space="0"/>
            </w:tcBorders>
            <w:vAlign w:val="center"/>
          </w:tcPr>
          <w:p w14:paraId="56EF8F1B">
            <w:pPr>
              <w:widowControl/>
              <w:adjustRightInd w:val="0"/>
              <w:snapToGrid w:val="0"/>
              <w:jc w:val="center"/>
              <w:rPr>
                <w:rFonts w:ascii="宋体" w:hAnsi="宋体" w:cs="宋体"/>
                <w:kern w:val="0"/>
                <w:szCs w:val="21"/>
              </w:rPr>
            </w:pPr>
            <w:r>
              <w:rPr>
                <w:rFonts w:hint="eastAsia" w:ascii="宋体" w:hAnsi="宋体" w:cs="宋体"/>
                <w:kern w:val="0"/>
                <w:szCs w:val="21"/>
              </w:rPr>
              <w:t>喷雾</w:t>
            </w:r>
          </w:p>
        </w:tc>
        <w:tc>
          <w:tcPr>
            <w:tcW w:w="1282" w:type="dxa"/>
            <w:tcBorders>
              <w:top w:val="single" w:color="auto" w:sz="4" w:space="0"/>
              <w:left w:val="single" w:color="auto" w:sz="4" w:space="0"/>
              <w:bottom w:val="single" w:color="auto" w:sz="4" w:space="0"/>
              <w:right w:val="single" w:color="auto" w:sz="4" w:space="0"/>
            </w:tcBorders>
            <w:vAlign w:val="center"/>
          </w:tcPr>
          <w:p w14:paraId="3C824920">
            <w:pPr>
              <w:widowControl/>
              <w:adjustRightInd w:val="0"/>
              <w:snapToGrid w:val="0"/>
              <w:jc w:val="center"/>
              <w:rPr>
                <w:rFonts w:ascii="宋体" w:hAnsi="宋体" w:cs="宋体"/>
                <w:szCs w:val="21"/>
              </w:rPr>
            </w:pPr>
            <w:r>
              <w:rPr>
                <w:rFonts w:hint="eastAsia" w:ascii="宋体" w:hAnsi="宋体" w:cs="宋体"/>
                <w:szCs w:val="21"/>
              </w:rPr>
              <w:t>7</w:t>
            </w:r>
          </w:p>
        </w:tc>
      </w:tr>
      <w:tr w14:paraId="1A2BE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7" w:type="dxa"/>
            <w:vMerge w:val="restart"/>
            <w:tcBorders>
              <w:left w:val="single" w:color="auto" w:sz="4" w:space="0"/>
              <w:right w:val="single" w:color="auto" w:sz="4" w:space="0"/>
            </w:tcBorders>
            <w:vAlign w:val="center"/>
          </w:tcPr>
          <w:p w14:paraId="7A7393A6">
            <w:pPr>
              <w:widowControl/>
              <w:adjustRightInd w:val="0"/>
              <w:snapToGrid w:val="0"/>
              <w:jc w:val="center"/>
              <w:rPr>
                <w:rFonts w:ascii="宋体" w:hAnsi="宋体" w:cs="宋体"/>
                <w:kern w:val="0"/>
                <w:szCs w:val="21"/>
                <w:lang w:val="zh-CN"/>
              </w:rPr>
            </w:pPr>
            <w:r>
              <w:rPr>
                <w:rFonts w:hint="eastAsia" w:ascii="宋体" w:hAnsi="宋体" w:cs="宋体"/>
                <w:kern w:val="0"/>
                <w:szCs w:val="21"/>
                <w:lang w:val="zh-CN"/>
              </w:rPr>
              <w:t>白粉病</w:t>
            </w:r>
          </w:p>
        </w:tc>
        <w:tc>
          <w:tcPr>
            <w:tcW w:w="1102" w:type="dxa"/>
            <w:vMerge w:val="restart"/>
            <w:tcBorders>
              <w:left w:val="single" w:color="auto" w:sz="4" w:space="0"/>
              <w:right w:val="single" w:color="auto" w:sz="4" w:space="0"/>
            </w:tcBorders>
            <w:vAlign w:val="center"/>
          </w:tcPr>
          <w:p w14:paraId="3EE3FE2B">
            <w:pPr>
              <w:widowControl/>
              <w:adjustRightInd w:val="0"/>
              <w:snapToGrid w:val="0"/>
              <w:jc w:val="center"/>
              <w:rPr>
                <w:rFonts w:ascii="宋体" w:hAnsi="宋体" w:cs="宋体"/>
                <w:kern w:val="0"/>
                <w:szCs w:val="21"/>
                <w:lang w:val="zh-CN"/>
              </w:rPr>
            </w:pPr>
            <w:r>
              <w:rPr>
                <w:rFonts w:hint="eastAsia" w:ascii="宋体" w:hAnsi="宋体" w:cs="宋体"/>
                <w:kern w:val="0"/>
                <w:szCs w:val="21"/>
                <w:lang w:val="zh-CN"/>
              </w:rPr>
              <w:t>发生初期</w:t>
            </w:r>
          </w:p>
        </w:tc>
        <w:tc>
          <w:tcPr>
            <w:tcW w:w="1974" w:type="dxa"/>
            <w:tcBorders>
              <w:top w:val="single" w:color="auto" w:sz="4" w:space="0"/>
              <w:left w:val="single" w:color="auto" w:sz="4" w:space="0"/>
              <w:bottom w:val="single" w:color="auto" w:sz="4" w:space="0"/>
              <w:right w:val="single" w:color="auto" w:sz="4" w:space="0"/>
            </w:tcBorders>
            <w:vAlign w:val="center"/>
          </w:tcPr>
          <w:p w14:paraId="331266CD">
            <w:pPr>
              <w:widowControl/>
              <w:adjustRightInd w:val="0"/>
              <w:snapToGrid w:val="0"/>
              <w:jc w:val="center"/>
              <w:rPr>
                <w:rFonts w:ascii="宋体" w:hAnsi="宋体" w:cs="宋体"/>
                <w:kern w:val="0"/>
                <w:szCs w:val="21"/>
                <w:lang w:val="zh-CN"/>
              </w:rPr>
            </w:pPr>
            <w:r>
              <w:rPr>
                <w:rFonts w:hint="eastAsia" w:ascii="宋体" w:hAnsi="宋体" w:cs="宋体"/>
                <w:szCs w:val="21"/>
              </w:rPr>
              <w:t>10%苯醚甲环唑水分散粒剂</w:t>
            </w:r>
          </w:p>
        </w:tc>
        <w:tc>
          <w:tcPr>
            <w:tcW w:w="2188" w:type="dxa"/>
            <w:tcBorders>
              <w:top w:val="single" w:color="auto" w:sz="4" w:space="0"/>
              <w:left w:val="single" w:color="auto" w:sz="4" w:space="0"/>
              <w:bottom w:val="single" w:color="auto" w:sz="4" w:space="0"/>
              <w:right w:val="single" w:color="auto" w:sz="4" w:space="0"/>
            </w:tcBorders>
            <w:vAlign w:val="center"/>
          </w:tcPr>
          <w:p w14:paraId="53AC57C5">
            <w:pPr>
              <w:widowControl/>
              <w:adjustRightInd w:val="0"/>
              <w:snapToGrid w:val="0"/>
              <w:jc w:val="center"/>
              <w:rPr>
                <w:rFonts w:ascii="宋体" w:hAnsi="宋体" w:cs="宋体"/>
                <w:color w:val="000000" w:themeColor="text1"/>
                <w:kern w:val="0"/>
                <w:szCs w:val="21"/>
                <w:lang w:val="zh-CN"/>
                <w14:textFill>
                  <w14:solidFill>
                    <w14:schemeClr w14:val="tx1"/>
                  </w14:solidFill>
                </w14:textFill>
              </w:rPr>
            </w:pPr>
            <w:r>
              <w:rPr>
                <w:rFonts w:hint="eastAsia" w:ascii="宋体" w:hAnsi="宋体" w:cs="宋体"/>
                <w:color w:val="000000" w:themeColor="text1"/>
                <w:szCs w:val="21"/>
                <w14:textFill>
                  <w14:solidFill>
                    <w14:schemeClr w14:val="tx1"/>
                  </w14:solidFill>
                </w14:textFill>
              </w:rPr>
              <w:t>60g/亩～80g/亩</w:t>
            </w:r>
          </w:p>
        </w:tc>
        <w:tc>
          <w:tcPr>
            <w:tcW w:w="1207" w:type="dxa"/>
            <w:tcBorders>
              <w:top w:val="single" w:color="auto" w:sz="4" w:space="0"/>
              <w:left w:val="single" w:color="auto" w:sz="4" w:space="0"/>
              <w:bottom w:val="single" w:color="auto" w:sz="4" w:space="0"/>
              <w:right w:val="single" w:color="auto" w:sz="4" w:space="0"/>
            </w:tcBorders>
            <w:vAlign w:val="center"/>
          </w:tcPr>
          <w:p w14:paraId="77896D65">
            <w:pPr>
              <w:widowControl/>
              <w:adjustRightInd w:val="0"/>
              <w:snapToGrid w:val="0"/>
              <w:jc w:val="center"/>
              <w:rPr>
                <w:rFonts w:ascii="宋体" w:hAnsi="宋体" w:cs="宋体"/>
                <w:kern w:val="0"/>
                <w:szCs w:val="21"/>
                <w:lang w:val="zh-CN"/>
              </w:rPr>
            </w:pPr>
            <w:r>
              <w:rPr>
                <w:rFonts w:hint="eastAsia" w:ascii="宋体" w:hAnsi="宋体" w:cs="宋体"/>
                <w:kern w:val="0"/>
                <w:szCs w:val="21"/>
              </w:rPr>
              <w:t>喷雾</w:t>
            </w:r>
          </w:p>
        </w:tc>
        <w:tc>
          <w:tcPr>
            <w:tcW w:w="1282" w:type="dxa"/>
            <w:tcBorders>
              <w:top w:val="single" w:color="auto" w:sz="4" w:space="0"/>
              <w:left w:val="single" w:color="auto" w:sz="4" w:space="0"/>
              <w:bottom w:val="single" w:color="auto" w:sz="4" w:space="0"/>
              <w:right w:val="single" w:color="auto" w:sz="4" w:space="0"/>
            </w:tcBorders>
            <w:vAlign w:val="center"/>
          </w:tcPr>
          <w:p w14:paraId="3E936F88">
            <w:pPr>
              <w:widowControl/>
              <w:adjustRightInd w:val="0"/>
              <w:snapToGrid w:val="0"/>
              <w:jc w:val="center"/>
              <w:rPr>
                <w:rFonts w:ascii="宋体" w:hAnsi="宋体" w:cs="宋体"/>
                <w:kern w:val="0"/>
                <w:szCs w:val="21"/>
              </w:rPr>
            </w:pPr>
            <w:r>
              <w:rPr>
                <w:rFonts w:hint="eastAsia" w:ascii="宋体" w:hAnsi="宋体" w:cs="宋体"/>
                <w:kern w:val="0"/>
                <w:szCs w:val="21"/>
              </w:rPr>
              <w:t>7</w:t>
            </w:r>
          </w:p>
        </w:tc>
      </w:tr>
      <w:tr w14:paraId="2453B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7" w:type="dxa"/>
            <w:vMerge w:val="continue"/>
            <w:tcBorders>
              <w:left w:val="single" w:color="auto" w:sz="4" w:space="0"/>
              <w:right w:val="single" w:color="auto" w:sz="4" w:space="0"/>
            </w:tcBorders>
            <w:vAlign w:val="center"/>
          </w:tcPr>
          <w:p w14:paraId="0F57FCE8">
            <w:pPr>
              <w:widowControl/>
              <w:adjustRightInd w:val="0"/>
              <w:snapToGrid w:val="0"/>
              <w:jc w:val="center"/>
              <w:rPr>
                <w:rFonts w:ascii="宋体" w:hAnsi="宋体" w:cs="宋体"/>
                <w:kern w:val="0"/>
                <w:szCs w:val="21"/>
                <w:lang w:val="zh-CN"/>
              </w:rPr>
            </w:pPr>
          </w:p>
        </w:tc>
        <w:tc>
          <w:tcPr>
            <w:tcW w:w="1102" w:type="dxa"/>
            <w:vMerge w:val="continue"/>
            <w:tcBorders>
              <w:left w:val="single" w:color="auto" w:sz="4" w:space="0"/>
              <w:right w:val="single" w:color="auto" w:sz="4" w:space="0"/>
            </w:tcBorders>
            <w:vAlign w:val="center"/>
          </w:tcPr>
          <w:p w14:paraId="22A3ACB4">
            <w:pPr>
              <w:widowControl/>
              <w:adjustRightInd w:val="0"/>
              <w:snapToGrid w:val="0"/>
              <w:jc w:val="center"/>
              <w:rPr>
                <w:rFonts w:ascii="宋体" w:hAnsi="宋体" w:cs="宋体"/>
                <w:kern w:val="0"/>
                <w:szCs w:val="21"/>
                <w:lang w:val="zh-CN"/>
              </w:rPr>
            </w:pPr>
          </w:p>
        </w:tc>
        <w:tc>
          <w:tcPr>
            <w:tcW w:w="1974" w:type="dxa"/>
            <w:tcBorders>
              <w:top w:val="single" w:color="auto" w:sz="4" w:space="0"/>
              <w:left w:val="single" w:color="auto" w:sz="4" w:space="0"/>
              <w:bottom w:val="single" w:color="auto" w:sz="4" w:space="0"/>
              <w:right w:val="single" w:color="auto" w:sz="4" w:space="0"/>
            </w:tcBorders>
            <w:vAlign w:val="center"/>
          </w:tcPr>
          <w:p w14:paraId="03A3104B">
            <w:pPr>
              <w:widowControl/>
              <w:adjustRightInd w:val="0"/>
              <w:snapToGrid w:val="0"/>
              <w:jc w:val="center"/>
              <w:rPr>
                <w:rFonts w:ascii="宋体" w:hAnsi="宋体" w:cs="宋体"/>
                <w:szCs w:val="21"/>
              </w:rPr>
            </w:pPr>
            <w:r>
              <w:rPr>
                <w:rFonts w:hint="eastAsia" w:ascii="宋体" w:hAnsi="宋体" w:cs="宋体"/>
                <w:color w:val="333333"/>
                <w:szCs w:val="21"/>
                <w:shd w:val="clear" w:color="auto" w:fill="FFFFFF"/>
              </w:rPr>
              <w:t>30%吡唑醚菌酯悬浮剂</w:t>
            </w:r>
          </w:p>
        </w:tc>
        <w:tc>
          <w:tcPr>
            <w:tcW w:w="2188" w:type="dxa"/>
            <w:tcBorders>
              <w:top w:val="single" w:color="auto" w:sz="4" w:space="0"/>
              <w:left w:val="single" w:color="auto" w:sz="4" w:space="0"/>
              <w:bottom w:val="single" w:color="auto" w:sz="4" w:space="0"/>
              <w:right w:val="single" w:color="auto" w:sz="4" w:space="0"/>
            </w:tcBorders>
            <w:vAlign w:val="center"/>
          </w:tcPr>
          <w:p w14:paraId="382BFBBE">
            <w:pPr>
              <w:widowControl/>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333333"/>
                <w:szCs w:val="21"/>
                <w:shd w:val="clear" w:color="auto" w:fill="FFFFFF"/>
              </w:rPr>
              <w:t>17ml/亩</w:t>
            </w:r>
            <w:r>
              <w:rPr>
                <w:rFonts w:hint="eastAsia" w:ascii="宋体" w:hAnsi="宋体" w:cs="宋体"/>
                <w:color w:val="000000" w:themeColor="text1"/>
                <w:szCs w:val="21"/>
                <w14:textFill>
                  <w14:solidFill>
                    <w14:schemeClr w14:val="tx1"/>
                  </w14:solidFill>
                </w14:textFill>
              </w:rPr>
              <w:t>～</w:t>
            </w:r>
            <w:r>
              <w:rPr>
                <w:rFonts w:hint="eastAsia" w:ascii="宋体" w:hAnsi="宋体" w:cs="宋体"/>
                <w:color w:val="333333"/>
                <w:szCs w:val="21"/>
                <w:shd w:val="clear" w:color="auto" w:fill="FFFFFF"/>
              </w:rPr>
              <w:t>33ml/亩</w:t>
            </w:r>
          </w:p>
        </w:tc>
        <w:tc>
          <w:tcPr>
            <w:tcW w:w="1207" w:type="dxa"/>
            <w:tcBorders>
              <w:top w:val="single" w:color="auto" w:sz="4" w:space="0"/>
              <w:left w:val="single" w:color="auto" w:sz="4" w:space="0"/>
              <w:bottom w:val="single" w:color="auto" w:sz="4" w:space="0"/>
              <w:right w:val="single" w:color="auto" w:sz="4" w:space="0"/>
            </w:tcBorders>
            <w:vAlign w:val="center"/>
          </w:tcPr>
          <w:p w14:paraId="5DF664BD">
            <w:pPr>
              <w:widowControl/>
              <w:adjustRightInd w:val="0"/>
              <w:snapToGrid w:val="0"/>
              <w:jc w:val="center"/>
              <w:rPr>
                <w:rFonts w:ascii="宋体" w:hAnsi="宋体" w:cs="宋体"/>
                <w:kern w:val="0"/>
                <w:szCs w:val="21"/>
              </w:rPr>
            </w:pPr>
            <w:r>
              <w:rPr>
                <w:rFonts w:hint="eastAsia" w:ascii="宋体" w:hAnsi="宋体" w:cs="宋体"/>
                <w:kern w:val="0"/>
                <w:szCs w:val="21"/>
              </w:rPr>
              <w:t>喷雾</w:t>
            </w:r>
          </w:p>
        </w:tc>
        <w:tc>
          <w:tcPr>
            <w:tcW w:w="1282" w:type="dxa"/>
            <w:tcBorders>
              <w:top w:val="single" w:color="auto" w:sz="4" w:space="0"/>
              <w:left w:val="single" w:color="auto" w:sz="4" w:space="0"/>
              <w:bottom w:val="single" w:color="auto" w:sz="4" w:space="0"/>
              <w:right w:val="single" w:color="auto" w:sz="4" w:space="0"/>
            </w:tcBorders>
            <w:vAlign w:val="center"/>
          </w:tcPr>
          <w:p w14:paraId="48BC419D">
            <w:pPr>
              <w:widowControl/>
              <w:adjustRightInd w:val="0"/>
              <w:snapToGrid w:val="0"/>
              <w:jc w:val="center"/>
              <w:rPr>
                <w:rFonts w:ascii="宋体" w:hAnsi="宋体" w:cs="宋体"/>
                <w:szCs w:val="21"/>
              </w:rPr>
            </w:pPr>
            <w:r>
              <w:rPr>
                <w:rFonts w:hint="eastAsia" w:ascii="宋体" w:hAnsi="宋体" w:cs="宋体"/>
                <w:szCs w:val="21"/>
              </w:rPr>
              <w:t>7</w:t>
            </w:r>
          </w:p>
        </w:tc>
      </w:tr>
      <w:tr w14:paraId="6E340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7" w:type="dxa"/>
            <w:tcBorders>
              <w:left w:val="single" w:color="auto" w:sz="4" w:space="0"/>
              <w:bottom w:val="single" w:color="auto" w:sz="4" w:space="0"/>
              <w:right w:val="single" w:color="auto" w:sz="4" w:space="0"/>
            </w:tcBorders>
            <w:vAlign w:val="center"/>
          </w:tcPr>
          <w:p w14:paraId="3DBD1C12">
            <w:pPr>
              <w:widowControl/>
              <w:adjustRightInd w:val="0"/>
              <w:snapToGrid w:val="0"/>
              <w:jc w:val="center"/>
              <w:rPr>
                <w:rFonts w:ascii="宋体" w:hAnsi="宋体" w:cs="宋体"/>
                <w:kern w:val="0"/>
                <w:szCs w:val="21"/>
                <w:lang w:val="zh-CN"/>
              </w:rPr>
            </w:pPr>
            <w:r>
              <w:rPr>
                <w:rFonts w:hint="eastAsia" w:ascii="宋体" w:hAnsi="宋体" w:cs="宋体"/>
                <w:kern w:val="0"/>
                <w:szCs w:val="21"/>
              </w:rPr>
              <w:t>炭疽</w:t>
            </w:r>
            <w:r>
              <w:rPr>
                <w:rFonts w:hint="eastAsia" w:ascii="宋体" w:hAnsi="宋体" w:cs="宋体"/>
                <w:kern w:val="0"/>
                <w:szCs w:val="21"/>
                <w:lang w:val="zh-CN"/>
              </w:rPr>
              <w:t>病</w:t>
            </w:r>
          </w:p>
        </w:tc>
        <w:tc>
          <w:tcPr>
            <w:tcW w:w="1102" w:type="dxa"/>
            <w:tcBorders>
              <w:left w:val="single" w:color="auto" w:sz="4" w:space="0"/>
              <w:bottom w:val="single" w:color="auto" w:sz="4" w:space="0"/>
              <w:right w:val="single" w:color="auto" w:sz="4" w:space="0"/>
            </w:tcBorders>
            <w:vAlign w:val="center"/>
          </w:tcPr>
          <w:p w14:paraId="015DACAA">
            <w:pPr>
              <w:widowControl/>
              <w:adjustRightInd w:val="0"/>
              <w:snapToGrid w:val="0"/>
              <w:jc w:val="center"/>
              <w:rPr>
                <w:rFonts w:ascii="宋体" w:hAnsi="宋体" w:cs="宋体"/>
                <w:kern w:val="0"/>
                <w:szCs w:val="21"/>
                <w:lang w:val="zh-CN"/>
              </w:rPr>
            </w:pPr>
            <w:r>
              <w:rPr>
                <w:rFonts w:hint="eastAsia" w:ascii="宋体" w:hAnsi="宋体" w:cs="宋体"/>
                <w:kern w:val="0"/>
                <w:szCs w:val="21"/>
                <w:lang w:val="zh-CN"/>
              </w:rPr>
              <w:t>发生初期</w:t>
            </w:r>
          </w:p>
        </w:tc>
        <w:tc>
          <w:tcPr>
            <w:tcW w:w="1974" w:type="dxa"/>
            <w:tcBorders>
              <w:top w:val="single" w:color="auto" w:sz="4" w:space="0"/>
              <w:left w:val="single" w:color="auto" w:sz="4" w:space="0"/>
              <w:bottom w:val="single" w:color="auto" w:sz="4" w:space="0"/>
              <w:right w:val="single" w:color="auto" w:sz="4" w:space="0"/>
            </w:tcBorders>
            <w:vAlign w:val="center"/>
          </w:tcPr>
          <w:p w14:paraId="2FF2BB42">
            <w:pPr>
              <w:widowControl/>
              <w:adjustRightInd w:val="0"/>
              <w:snapToGrid w:val="0"/>
              <w:jc w:val="center"/>
              <w:rPr>
                <w:rFonts w:ascii="宋体" w:hAnsi="宋体" w:cs="宋体"/>
                <w:kern w:val="0"/>
                <w:szCs w:val="21"/>
                <w:lang w:val="zh-CN"/>
              </w:rPr>
            </w:pPr>
            <w:r>
              <w:rPr>
                <w:rFonts w:hint="eastAsia" w:ascii="宋体" w:hAnsi="宋体" w:cs="宋体"/>
                <w:color w:val="333333"/>
                <w:szCs w:val="21"/>
                <w:shd w:val="clear" w:color="auto" w:fill="FFFFFF"/>
              </w:rPr>
              <w:t>25%吡唑醚菌酯悬浮剂</w:t>
            </w:r>
          </w:p>
        </w:tc>
        <w:tc>
          <w:tcPr>
            <w:tcW w:w="2188" w:type="dxa"/>
            <w:tcBorders>
              <w:top w:val="single" w:color="auto" w:sz="4" w:space="0"/>
              <w:left w:val="single" w:color="auto" w:sz="4" w:space="0"/>
              <w:bottom w:val="single" w:color="auto" w:sz="4" w:space="0"/>
              <w:right w:val="single" w:color="auto" w:sz="4" w:space="0"/>
            </w:tcBorders>
            <w:vAlign w:val="center"/>
          </w:tcPr>
          <w:p w14:paraId="6F5D9E97">
            <w:pPr>
              <w:widowControl/>
              <w:adjustRightInd w:val="0"/>
              <w:snapToGrid w:val="0"/>
              <w:jc w:val="center"/>
              <w:rPr>
                <w:rFonts w:ascii="宋体" w:hAnsi="宋体" w:cs="宋体"/>
                <w:color w:val="000000" w:themeColor="text1"/>
                <w:kern w:val="0"/>
                <w:szCs w:val="21"/>
                <w:lang w:val="zh-CN"/>
                <w14:textFill>
                  <w14:solidFill>
                    <w14:schemeClr w14:val="tx1"/>
                  </w14:solidFill>
                </w14:textFill>
              </w:rPr>
            </w:pPr>
            <w:r>
              <w:rPr>
                <w:rFonts w:hint="eastAsia" w:ascii="宋体" w:hAnsi="宋体" w:cs="宋体"/>
                <w:color w:val="333333"/>
                <w:szCs w:val="21"/>
                <w:shd w:val="clear" w:color="auto" w:fill="FFFFFF"/>
              </w:rPr>
              <w:t>30ml</w:t>
            </w:r>
            <w:r>
              <w:rPr>
                <w:rFonts w:hint="eastAsia" w:ascii="宋体" w:hAnsi="宋体" w:cs="宋体"/>
                <w:color w:val="000000" w:themeColor="text1"/>
                <w:kern w:val="0"/>
                <w:szCs w:val="21"/>
                <w14:textFill>
                  <w14:solidFill>
                    <w14:schemeClr w14:val="tx1"/>
                  </w14:solidFill>
                </w14:textFill>
              </w:rPr>
              <w:t>/亩～</w:t>
            </w:r>
            <w:r>
              <w:rPr>
                <w:rFonts w:hint="eastAsia" w:ascii="宋体" w:hAnsi="宋体" w:cs="宋体"/>
                <w:color w:val="333333"/>
                <w:szCs w:val="21"/>
                <w:shd w:val="clear" w:color="auto" w:fill="FFFFFF"/>
              </w:rPr>
              <w:t>40ml/亩</w:t>
            </w:r>
          </w:p>
        </w:tc>
        <w:tc>
          <w:tcPr>
            <w:tcW w:w="1207" w:type="dxa"/>
            <w:tcBorders>
              <w:top w:val="single" w:color="auto" w:sz="4" w:space="0"/>
              <w:left w:val="single" w:color="auto" w:sz="4" w:space="0"/>
              <w:bottom w:val="single" w:color="auto" w:sz="4" w:space="0"/>
              <w:right w:val="single" w:color="auto" w:sz="4" w:space="0"/>
            </w:tcBorders>
            <w:vAlign w:val="center"/>
          </w:tcPr>
          <w:p w14:paraId="193ACBA8">
            <w:pPr>
              <w:widowControl/>
              <w:adjustRightInd w:val="0"/>
              <w:snapToGrid w:val="0"/>
              <w:jc w:val="center"/>
              <w:rPr>
                <w:rFonts w:ascii="宋体" w:hAnsi="宋体" w:cs="宋体"/>
                <w:kern w:val="0"/>
                <w:szCs w:val="21"/>
                <w:lang w:val="zh-CN"/>
              </w:rPr>
            </w:pPr>
            <w:r>
              <w:rPr>
                <w:rFonts w:hint="eastAsia" w:ascii="宋体" w:hAnsi="宋体" w:cs="宋体"/>
                <w:kern w:val="0"/>
                <w:szCs w:val="21"/>
              </w:rPr>
              <w:t>喷雾</w:t>
            </w:r>
          </w:p>
        </w:tc>
        <w:tc>
          <w:tcPr>
            <w:tcW w:w="1282" w:type="dxa"/>
            <w:tcBorders>
              <w:top w:val="single" w:color="auto" w:sz="4" w:space="0"/>
              <w:left w:val="single" w:color="auto" w:sz="4" w:space="0"/>
              <w:bottom w:val="single" w:color="auto" w:sz="4" w:space="0"/>
              <w:right w:val="single" w:color="auto" w:sz="4" w:space="0"/>
            </w:tcBorders>
            <w:vAlign w:val="center"/>
          </w:tcPr>
          <w:p w14:paraId="1C4486D8">
            <w:pPr>
              <w:widowControl/>
              <w:adjustRightInd w:val="0"/>
              <w:snapToGrid w:val="0"/>
              <w:jc w:val="center"/>
              <w:rPr>
                <w:rFonts w:ascii="宋体" w:hAnsi="宋体" w:cs="宋体"/>
                <w:kern w:val="0"/>
                <w:szCs w:val="21"/>
              </w:rPr>
            </w:pPr>
            <w:r>
              <w:rPr>
                <w:rFonts w:hint="eastAsia" w:ascii="宋体" w:hAnsi="宋体" w:cs="宋体"/>
                <w:kern w:val="0"/>
                <w:szCs w:val="21"/>
              </w:rPr>
              <w:t>7</w:t>
            </w:r>
          </w:p>
        </w:tc>
      </w:tr>
      <w:tr w14:paraId="3413E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7" w:type="dxa"/>
            <w:vMerge w:val="restart"/>
            <w:tcBorders>
              <w:top w:val="single" w:color="auto" w:sz="4" w:space="0"/>
              <w:left w:val="single" w:color="auto" w:sz="4" w:space="0"/>
              <w:bottom w:val="single" w:color="auto" w:sz="4" w:space="0"/>
              <w:right w:val="single" w:color="auto" w:sz="4" w:space="0"/>
            </w:tcBorders>
            <w:vAlign w:val="center"/>
          </w:tcPr>
          <w:p w14:paraId="4BE3A386">
            <w:pPr>
              <w:widowControl/>
              <w:adjustRightInd w:val="0"/>
              <w:snapToGrid w:val="0"/>
              <w:jc w:val="center"/>
              <w:rPr>
                <w:rFonts w:ascii="宋体" w:hAnsi="宋体" w:cs="宋体"/>
                <w:kern w:val="0"/>
                <w:szCs w:val="21"/>
                <w:lang w:val="zh-CN"/>
              </w:rPr>
            </w:pPr>
            <w:r>
              <w:rPr>
                <w:rFonts w:hint="eastAsia" w:ascii="宋体" w:hAnsi="宋体" w:cs="宋体"/>
                <w:kern w:val="0"/>
                <w:szCs w:val="21"/>
              </w:rPr>
              <w:t>蓟马</w:t>
            </w:r>
          </w:p>
        </w:tc>
        <w:tc>
          <w:tcPr>
            <w:tcW w:w="1102" w:type="dxa"/>
            <w:vMerge w:val="restart"/>
            <w:tcBorders>
              <w:top w:val="single" w:color="auto" w:sz="4" w:space="0"/>
              <w:left w:val="single" w:color="auto" w:sz="4" w:space="0"/>
              <w:bottom w:val="single" w:color="auto" w:sz="4" w:space="0"/>
              <w:right w:val="single" w:color="auto" w:sz="4" w:space="0"/>
            </w:tcBorders>
            <w:vAlign w:val="center"/>
          </w:tcPr>
          <w:p w14:paraId="42D12CB5">
            <w:pPr>
              <w:widowControl/>
              <w:adjustRightInd w:val="0"/>
              <w:snapToGrid w:val="0"/>
              <w:jc w:val="center"/>
              <w:rPr>
                <w:rFonts w:ascii="宋体" w:hAnsi="宋体" w:cs="宋体"/>
                <w:kern w:val="0"/>
                <w:szCs w:val="21"/>
                <w:lang w:val="zh-CN"/>
              </w:rPr>
            </w:pPr>
            <w:r>
              <w:rPr>
                <w:rFonts w:hint="eastAsia" w:ascii="宋体" w:hAnsi="宋体" w:cs="宋体"/>
                <w:kern w:val="0"/>
                <w:szCs w:val="21"/>
                <w:lang w:val="zh-CN"/>
              </w:rPr>
              <w:t>发生</w:t>
            </w:r>
            <w:r>
              <w:rPr>
                <w:rFonts w:hint="eastAsia" w:ascii="宋体" w:hAnsi="宋体" w:cs="宋体"/>
                <w:kern w:val="0"/>
                <w:szCs w:val="21"/>
              </w:rPr>
              <w:t>初</w:t>
            </w:r>
            <w:r>
              <w:rPr>
                <w:rFonts w:hint="eastAsia" w:ascii="宋体" w:hAnsi="宋体" w:cs="宋体"/>
                <w:kern w:val="0"/>
                <w:szCs w:val="21"/>
                <w:lang w:val="zh-CN"/>
              </w:rPr>
              <w:t>期</w:t>
            </w:r>
          </w:p>
        </w:tc>
        <w:tc>
          <w:tcPr>
            <w:tcW w:w="1974" w:type="dxa"/>
            <w:tcBorders>
              <w:top w:val="single" w:color="auto" w:sz="4" w:space="0"/>
              <w:left w:val="single" w:color="auto" w:sz="4" w:space="0"/>
              <w:bottom w:val="single" w:color="auto" w:sz="4" w:space="0"/>
              <w:right w:val="single" w:color="auto" w:sz="4" w:space="0"/>
            </w:tcBorders>
            <w:vAlign w:val="center"/>
          </w:tcPr>
          <w:p w14:paraId="46264385">
            <w:pPr>
              <w:widowControl/>
              <w:adjustRightInd w:val="0"/>
              <w:snapToGrid w:val="0"/>
              <w:jc w:val="center"/>
              <w:rPr>
                <w:rFonts w:ascii="宋体" w:hAnsi="宋体" w:cs="宋体"/>
                <w:kern w:val="0"/>
                <w:szCs w:val="21"/>
                <w:lang w:val="zh-CN"/>
              </w:rPr>
            </w:pPr>
            <w:r>
              <w:rPr>
                <w:rFonts w:hint="eastAsia" w:ascii="宋体" w:hAnsi="宋体" w:cs="宋体"/>
                <w:color w:val="333333"/>
                <w:szCs w:val="21"/>
                <w:shd w:val="clear" w:color="auto" w:fill="FFFFFF"/>
              </w:rPr>
              <w:t>10%多杀·甲维盐水分散粒剂</w:t>
            </w:r>
          </w:p>
        </w:tc>
        <w:tc>
          <w:tcPr>
            <w:tcW w:w="2188" w:type="dxa"/>
            <w:tcBorders>
              <w:top w:val="single" w:color="auto" w:sz="4" w:space="0"/>
              <w:left w:val="single" w:color="auto" w:sz="4" w:space="0"/>
              <w:bottom w:val="single" w:color="auto" w:sz="4" w:space="0"/>
              <w:right w:val="single" w:color="auto" w:sz="4" w:space="0"/>
            </w:tcBorders>
            <w:vAlign w:val="center"/>
          </w:tcPr>
          <w:p w14:paraId="7275408F">
            <w:pPr>
              <w:widowControl/>
              <w:adjustRightInd w:val="0"/>
              <w:snapToGrid w:val="0"/>
              <w:jc w:val="center"/>
              <w:rPr>
                <w:rFonts w:ascii="宋体" w:hAnsi="宋体" w:cs="宋体"/>
                <w:color w:val="000000" w:themeColor="text1"/>
                <w:kern w:val="0"/>
                <w:szCs w:val="21"/>
                <w:lang w:val="zh-CN"/>
                <w14:textFill>
                  <w14:solidFill>
                    <w14:schemeClr w14:val="tx1"/>
                  </w14:solidFill>
                </w14:textFill>
              </w:rPr>
            </w:pPr>
            <w:r>
              <w:rPr>
                <w:rFonts w:hint="eastAsia" w:ascii="宋体" w:hAnsi="宋体" w:cs="宋体"/>
                <w:color w:val="333333"/>
                <w:szCs w:val="21"/>
                <w:shd w:val="clear" w:color="auto" w:fill="FFFFFF"/>
              </w:rPr>
              <w:t>16g/亩</w:t>
            </w:r>
            <w:r>
              <w:rPr>
                <w:rFonts w:hint="eastAsia" w:ascii="宋体" w:hAnsi="宋体" w:cs="宋体"/>
                <w:color w:val="000000" w:themeColor="text1"/>
                <w:szCs w:val="21"/>
                <w14:textFill>
                  <w14:solidFill>
                    <w14:schemeClr w14:val="tx1"/>
                  </w14:solidFill>
                </w14:textFill>
              </w:rPr>
              <w:t>～</w:t>
            </w:r>
            <w:r>
              <w:rPr>
                <w:rFonts w:hint="eastAsia" w:ascii="宋体" w:hAnsi="宋体" w:cs="宋体"/>
                <w:color w:val="333333"/>
                <w:szCs w:val="21"/>
                <w:shd w:val="clear" w:color="auto" w:fill="FFFFFF"/>
              </w:rPr>
              <w:t>20g/亩</w:t>
            </w:r>
          </w:p>
        </w:tc>
        <w:tc>
          <w:tcPr>
            <w:tcW w:w="1207" w:type="dxa"/>
            <w:tcBorders>
              <w:top w:val="single" w:color="auto" w:sz="4" w:space="0"/>
              <w:left w:val="single" w:color="auto" w:sz="4" w:space="0"/>
              <w:bottom w:val="single" w:color="auto" w:sz="4" w:space="0"/>
              <w:right w:val="single" w:color="auto" w:sz="4" w:space="0"/>
            </w:tcBorders>
            <w:vAlign w:val="center"/>
          </w:tcPr>
          <w:p w14:paraId="53B365D5">
            <w:pPr>
              <w:widowControl/>
              <w:adjustRightInd w:val="0"/>
              <w:snapToGrid w:val="0"/>
              <w:jc w:val="center"/>
              <w:rPr>
                <w:rFonts w:ascii="宋体" w:hAnsi="宋体" w:cs="宋体"/>
                <w:kern w:val="0"/>
                <w:szCs w:val="21"/>
                <w:lang w:val="zh-CN"/>
              </w:rPr>
            </w:pPr>
            <w:r>
              <w:rPr>
                <w:rFonts w:hint="eastAsia" w:ascii="宋体" w:hAnsi="宋体" w:cs="宋体"/>
                <w:szCs w:val="21"/>
              </w:rPr>
              <w:t>喷雾</w:t>
            </w:r>
          </w:p>
        </w:tc>
        <w:tc>
          <w:tcPr>
            <w:tcW w:w="1282" w:type="dxa"/>
            <w:tcBorders>
              <w:top w:val="single" w:color="auto" w:sz="4" w:space="0"/>
              <w:left w:val="single" w:color="auto" w:sz="4" w:space="0"/>
              <w:bottom w:val="single" w:color="auto" w:sz="4" w:space="0"/>
              <w:right w:val="single" w:color="auto" w:sz="4" w:space="0"/>
            </w:tcBorders>
            <w:vAlign w:val="center"/>
          </w:tcPr>
          <w:p w14:paraId="55E18C99">
            <w:pPr>
              <w:widowControl/>
              <w:adjustRightInd w:val="0"/>
              <w:snapToGrid w:val="0"/>
              <w:jc w:val="center"/>
              <w:rPr>
                <w:rFonts w:ascii="宋体" w:hAnsi="宋体" w:cs="宋体"/>
                <w:kern w:val="0"/>
                <w:szCs w:val="21"/>
              </w:rPr>
            </w:pPr>
            <w:r>
              <w:rPr>
                <w:rFonts w:hint="eastAsia" w:ascii="宋体" w:hAnsi="宋体" w:cs="宋体"/>
                <w:kern w:val="0"/>
                <w:szCs w:val="21"/>
              </w:rPr>
              <w:t>3</w:t>
            </w:r>
          </w:p>
        </w:tc>
      </w:tr>
      <w:tr w14:paraId="4D97D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7" w:type="dxa"/>
            <w:vMerge w:val="continue"/>
            <w:tcBorders>
              <w:top w:val="single" w:color="auto" w:sz="4" w:space="0"/>
              <w:left w:val="single" w:color="auto" w:sz="4" w:space="0"/>
              <w:bottom w:val="single" w:color="auto" w:sz="4" w:space="0"/>
              <w:right w:val="single" w:color="auto" w:sz="4" w:space="0"/>
            </w:tcBorders>
            <w:vAlign w:val="center"/>
          </w:tcPr>
          <w:p w14:paraId="21C7F3DB">
            <w:pPr>
              <w:widowControl/>
              <w:adjustRightInd w:val="0"/>
              <w:snapToGrid w:val="0"/>
              <w:jc w:val="center"/>
              <w:rPr>
                <w:rFonts w:ascii="宋体" w:hAnsi="宋体" w:cs="宋体"/>
                <w:kern w:val="0"/>
                <w:szCs w:val="21"/>
                <w:lang w:val="zh-CN"/>
              </w:rPr>
            </w:pPr>
          </w:p>
        </w:tc>
        <w:tc>
          <w:tcPr>
            <w:tcW w:w="1102" w:type="dxa"/>
            <w:vMerge w:val="continue"/>
            <w:tcBorders>
              <w:top w:val="single" w:color="auto" w:sz="4" w:space="0"/>
              <w:left w:val="single" w:color="auto" w:sz="4" w:space="0"/>
              <w:bottom w:val="single" w:color="auto" w:sz="4" w:space="0"/>
              <w:right w:val="single" w:color="auto" w:sz="4" w:space="0"/>
            </w:tcBorders>
            <w:vAlign w:val="center"/>
          </w:tcPr>
          <w:p w14:paraId="3289E8AB">
            <w:pPr>
              <w:widowControl/>
              <w:adjustRightInd w:val="0"/>
              <w:snapToGrid w:val="0"/>
              <w:jc w:val="center"/>
              <w:rPr>
                <w:rFonts w:ascii="宋体" w:hAnsi="宋体" w:cs="宋体"/>
                <w:kern w:val="0"/>
                <w:szCs w:val="21"/>
                <w:lang w:val="zh-CN"/>
              </w:rPr>
            </w:pPr>
          </w:p>
        </w:tc>
        <w:tc>
          <w:tcPr>
            <w:tcW w:w="1974" w:type="dxa"/>
            <w:tcBorders>
              <w:top w:val="single" w:color="auto" w:sz="4" w:space="0"/>
              <w:left w:val="single" w:color="auto" w:sz="4" w:space="0"/>
              <w:bottom w:val="single" w:color="auto" w:sz="4" w:space="0"/>
              <w:right w:val="single" w:color="auto" w:sz="4" w:space="0"/>
            </w:tcBorders>
            <w:vAlign w:val="center"/>
          </w:tcPr>
          <w:p w14:paraId="6018D79E">
            <w:pPr>
              <w:widowControl/>
              <w:adjustRightInd w:val="0"/>
              <w:snapToGrid w:val="0"/>
              <w:jc w:val="center"/>
              <w:rPr>
                <w:rFonts w:ascii="宋体" w:hAnsi="宋体" w:cs="宋体"/>
                <w:kern w:val="0"/>
                <w:szCs w:val="21"/>
                <w:lang w:val="zh-CN"/>
              </w:rPr>
            </w:pPr>
            <w:r>
              <w:rPr>
                <w:rFonts w:hint="eastAsia" w:ascii="宋体" w:hAnsi="宋体" w:cs="宋体"/>
                <w:color w:val="333333"/>
                <w:szCs w:val="21"/>
                <w:shd w:val="clear" w:color="auto" w:fill="FFFFFF"/>
              </w:rPr>
              <w:t>0.5%苦参碱水剂</w:t>
            </w:r>
          </w:p>
        </w:tc>
        <w:tc>
          <w:tcPr>
            <w:tcW w:w="2188" w:type="dxa"/>
            <w:tcBorders>
              <w:top w:val="single" w:color="auto" w:sz="4" w:space="0"/>
              <w:left w:val="single" w:color="auto" w:sz="4" w:space="0"/>
              <w:bottom w:val="single" w:color="auto" w:sz="4" w:space="0"/>
              <w:right w:val="single" w:color="auto" w:sz="4" w:space="0"/>
            </w:tcBorders>
            <w:vAlign w:val="center"/>
          </w:tcPr>
          <w:p w14:paraId="6701B676">
            <w:pPr>
              <w:widowControl/>
              <w:adjustRightInd w:val="0"/>
              <w:snapToGrid w:val="0"/>
              <w:jc w:val="center"/>
              <w:rPr>
                <w:rFonts w:ascii="宋体" w:hAnsi="宋体" w:cs="宋体"/>
                <w:color w:val="000000" w:themeColor="text1"/>
                <w:kern w:val="0"/>
                <w:szCs w:val="21"/>
                <w:lang w:val="zh-CN"/>
                <w14:textFill>
                  <w14:solidFill>
                    <w14:schemeClr w14:val="tx1"/>
                  </w14:solidFill>
                </w14:textFill>
              </w:rPr>
            </w:pPr>
            <w:r>
              <w:rPr>
                <w:rFonts w:hint="eastAsia" w:ascii="宋体" w:hAnsi="宋体" w:cs="宋体"/>
                <w:kern w:val="0"/>
                <w:szCs w:val="21"/>
              </w:rPr>
              <w:t>100ml</w:t>
            </w:r>
            <w:r>
              <w:rPr>
                <w:rFonts w:hint="eastAsia" w:ascii="宋体" w:hAnsi="宋体" w:cs="宋体"/>
                <w:kern w:val="0"/>
                <w:szCs w:val="21"/>
                <w:lang w:val="zh-CN"/>
              </w:rPr>
              <w:t>/亩</w:t>
            </w:r>
            <w:r>
              <w:rPr>
                <w:rFonts w:hint="eastAsia" w:ascii="宋体" w:hAnsi="宋体" w:cs="宋体"/>
                <w:color w:val="000000" w:themeColor="text1"/>
                <w:szCs w:val="21"/>
                <w14:textFill>
                  <w14:solidFill>
                    <w14:schemeClr w14:val="tx1"/>
                  </w14:solidFill>
                </w14:textFill>
              </w:rPr>
              <w:t>～</w:t>
            </w:r>
            <w:r>
              <w:rPr>
                <w:rFonts w:hint="eastAsia" w:ascii="宋体" w:hAnsi="宋体" w:cs="宋体"/>
                <w:kern w:val="0"/>
                <w:szCs w:val="21"/>
              </w:rPr>
              <w:t>120ml</w:t>
            </w:r>
            <w:r>
              <w:rPr>
                <w:rFonts w:hint="eastAsia" w:ascii="宋体" w:hAnsi="宋体" w:cs="宋体"/>
                <w:kern w:val="0"/>
                <w:szCs w:val="21"/>
                <w:lang w:val="zh-CN"/>
              </w:rPr>
              <w:t>/亩</w:t>
            </w:r>
          </w:p>
        </w:tc>
        <w:tc>
          <w:tcPr>
            <w:tcW w:w="1207" w:type="dxa"/>
            <w:tcBorders>
              <w:top w:val="single" w:color="auto" w:sz="4" w:space="0"/>
              <w:left w:val="single" w:color="auto" w:sz="4" w:space="0"/>
              <w:bottom w:val="single" w:color="auto" w:sz="4" w:space="0"/>
              <w:right w:val="single" w:color="auto" w:sz="4" w:space="0"/>
            </w:tcBorders>
            <w:vAlign w:val="center"/>
          </w:tcPr>
          <w:p w14:paraId="4B4374C4">
            <w:pPr>
              <w:widowControl/>
              <w:adjustRightInd w:val="0"/>
              <w:snapToGrid w:val="0"/>
              <w:jc w:val="center"/>
              <w:rPr>
                <w:rFonts w:ascii="宋体" w:hAnsi="宋体" w:cs="宋体"/>
                <w:kern w:val="0"/>
                <w:szCs w:val="21"/>
                <w:lang w:val="zh-CN"/>
              </w:rPr>
            </w:pPr>
            <w:r>
              <w:rPr>
                <w:rFonts w:hint="eastAsia" w:ascii="宋体" w:hAnsi="宋体" w:cs="宋体"/>
                <w:kern w:val="0"/>
                <w:szCs w:val="21"/>
                <w:lang w:val="zh-CN"/>
              </w:rPr>
              <w:t>喷雾</w:t>
            </w:r>
          </w:p>
        </w:tc>
        <w:tc>
          <w:tcPr>
            <w:tcW w:w="1282" w:type="dxa"/>
            <w:tcBorders>
              <w:top w:val="single" w:color="auto" w:sz="4" w:space="0"/>
              <w:left w:val="single" w:color="auto" w:sz="4" w:space="0"/>
              <w:bottom w:val="single" w:color="auto" w:sz="4" w:space="0"/>
              <w:right w:val="single" w:color="auto" w:sz="4" w:space="0"/>
            </w:tcBorders>
            <w:vAlign w:val="center"/>
          </w:tcPr>
          <w:p w14:paraId="29BFB11B">
            <w:pPr>
              <w:widowControl/>
              <w:adjustRightInd w:val="0"/>
              <w:snapToGrid w:val="0"/>
              <w:jc w:val="center"/>
              <w:rPr>
                <w:rFonts w:ascii="宋体" w:hAnsi="宋体" w:cs="宋体"/>
                <w:kern w:val="0"/>
                <w:szCs w:val="21"/>
              </w:rPr>
            </w:pPr>
            <w:r>
              <w:rPr>
                <w:rFonts w:hint="eastAsia" w:ascii="宋体" w:hAnsi="宋体" w:cs="宋体"/>
                <w:kern w:val="0"/>
                <w:szCs w:val="21"/>
              </w:rPr>
              <w:t>7</w:t>
            </w:r>
          </w:p>
        </w:tc>
      </w:tr>
      <w:tr w14:paraId="2C8F3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67" w:type="dxa"/>
            <w:tcBorders>
              <w:top w:val="single" w:color="auto" w:sz="4" w:space="0"/>
              <w:left w:val="single" w:color="auto" w:sz="4" w:space="0"/>
              <w:right w:val="single" w:color="auto" w:sz="4" w:space="0"/>
            </w:tcBorders>
            <w:vAlign w:val="center"/>
          </w:tcPr>
          <w:p w14:paraId="50E84EA2">
            <w:pPr>
              <w:widowControl/>
              <w:adjustRightInd w:val="0"/>
              <w:snapToGrid w:val="0"/>
              <w:jc w:val="center"/>
              <w:rPr>
                <w:rFonts w:ascii="宋体" w:hAnsi="宋体" w:cs="宋体"/>
                <w:kern w:val="0"/>
                <w:szCs w:val="21"/>
                <w:lang w:val="zh-CN"/>
              </w:rPr>
            </w:pPr>
            <w:r>
              <w:rPr>
                <w:rFonts w:hint="eastAsia" w:ascii="宋体" w:hAnsi="宋体" w:cs="宋体"/>
                <w:kern w:val="0"/>
                <w:szCs w:val="21"/>
                <w:lang w:val="zh-CN"/>
              </w:rPr>
              <w:t>潜</w:t>
            </w:r>
            <w:r>
              <w:rPr>
                <w:rFonts w:hint="eastAsia" w:ascii="宋体" w:hAnsi="宋体" w:cs="宋体"/>
                <w:kern w:val="0"/>
                <w:szCs w:val="21"/>
              </w:rPr>
              <w:t>叶</w:t>
            </w:r>
            <w:r>
              <w:rPr>
                <w:rFonts w:hint="eastAsia" w:ascii="宋体" w:hAnsi="宋体" w:cs="宋体"/>
                <w:kern w:val="0"/>
                <w:szCs w:val="21"/>
                <w:lang w:val="zh-CN"/>
              </w:rPr>
              <w:t>蝇</w:t>
            </w:r>
          </w:p>
        </w:tc>
        <w:tc>
          <w:tcPr>
            <w:tcW w:w="1102" w:type="dxa"/>
            <w:tcBorders>
              <w:top w:val="single" w:color="auto" w:sz="4" w:space="0"/>
              <w:left w:val="single" w:color="auto" w:sz="4" w:space="0"/>
              <w:right w:val="single" w:color="auto" w:sz="4" w:space="0"/>
            </w:tcBorders>
            <w:vAlign w:val="center"/>
          </w:tcPr>
          <w:p w14:paraId="6D6B8E7D">
            <w:pPr>
              <w:widowControl/>
              <w:adjustRightInd w:val="0"/>
              <w:snapToGrid w:val="0"/>
              <w:jc w:val="center"/>
              <w:rPr>
                <w:rFonts w:ascii="宋体" w:hAnsi="宋体" w:cs="宋体"/>
                <w:kern w:val="0"/>
                <w:szCs w:val="21"/>
              </w:rPr>
            </w:pPr>
            <w:r>
              <w:rPr>
                <w:rFonts w:hint="eastAsia" w:ascii="宋体" w:hAnsi="宋体" w:cs="宋体"/>
                <w:kern w:val="0"/>
                <w:szCs w:val="21"/>
                <w:lang w:val="zh-CN"/>
              </w:rPr>
              <w:t>发生期</w:t>
            </w:r>
          </w:p>
        </w:tc>
        <w:tc>
          <w:tcPr>
            <w:tcW w:w="1974" w:type="dxa"/>
            <w:tcBorders>
              <w:top w:val="single" w:color="auto" w:sz="4" w:space="0"/>
              <w:left w:val="single" w:color="auto" w:sz="4" w:space="0"/>
              <w:right w:val="single" w:color="auto" w:sz="4" w:space="0"/>
            </w:tcBorders>
            <w:vAlign w:val="center"/>
          </w:tcPr>
          <w:p w14:paraId="54C8FFBA">
            <w:pPr>
              <w:widowControl/>
              <w:adjustRightInd w:val="0"/>
              <w:snapToGrid w:val="0"/>
              <w:jc w:val="center"/>
              <w:rPr>
                <w:rFonts w:ascii="宋体" w:hAnsi="宋体" w:cs="宋体"/>
                <w:kern w:val="0"/>
                <w:szCs w:val="21"/>
                <w:lang w:val="zh-CN"/>
              </w:rPr>
            </w:pPr>
            <w:r>
              <w:rPr>
                <w:rFonts w:hint="eastAsia" w:ascii="宋体" w:hAnsi="宋体" w:cs="宋体"/>
                <w:kern w:val="0"/>
                <w:szCs w:val="21"/>
              </w:rPr>
              <w:t>25</w:t>
            </w:r>
            <w:r>
              <w:rPr>
                <w:rFonts w:hint="eastAsia" w:ascii="宋体" w:hAnsi="宋体" w:cs="宋体"/>
                <w:kern w:val="0"/>
                <w:szCs w:val="21"/>
                <w:lang w:val="zh-CN"/>
              </w:rPr>
              <w:t>%</w:t>
            </w:r>
            <w:r>
              <w:rPr>
                <w:rFonts w:hint="eastAsia" w:ascii="宋体" w:hAnsi="宋体" w:cs="宋体"/>
                <w:color w:val="333333"/>
                <w:szCs w:val="21"/>
                <w:shd w:val="clear" w:color="auto" w:fill="FFFFFF"/>
              </w:rPr>
              <w:t>噻虫嗪水分散粒剂</w:t>
            </w:r>
          </w:p>
        </w:tc>
        <w:tc>
          <w:tcPr>
            <w:tcW w:w="2188" w:type="dxa"/>
            <w:tcBorders>
              <w:top w:val="single" w:color="auto" w:sz="4" w:space="0"/>
              <w:left w:val="single" w:color="auto" w:sz="4" w:space="0"/>
              <w:right w:val="single" w:color="auto" w:sz="4" w:space="0"/>
            </w:tcBorders>
            <w:vAlign w:val="center"/>
          </w:tcPr>
          <w:p w14:paraId="2AB6A991">
            <w:pPr>
              <w:widowControl/>
              <w:adjustRightInd w:val="0"/>
              <w:snapToGrid w:val="0"/>
              <w:jc w:val="center"/>
              <w:rPr>
                <w:rFonts w:ascii="宋体" w:hAnsi="宋体" w:cs="宋体"/>
                <w:kern w:val="0"/>
                <w:szCs w:val="21"/>
                <w:lang w:val="zh-CN"/>
              </w:rPr>
            </w:pPr>
            <w:r>
              <w:rPr>
                <w:rFonts w:hint="eastAsia" w:ascii="宋体" w:hAnsi="宋体" w:cs="宋体"/>
                <w:color w:val="333333"/>
                <w:szCs w:val="21"/>
                <w:shd w:val="clear" w:color="auto" w:fill="FFFFFF"/>
              </w:rPr>
              <w:t>23g/亩</w:t>
            </w:r>
            <w:r>
              <w:rPr>
                <w:rFonts w:hint="eastAsia" w:ascii="宋体" w:hAnsi="宋体" w:cs="宋体"/>
                <w:color w:val="000000" w:themeColor="text1"/>
                <w:kern w:val="0"/>
                <w:szCs w:val="21"/>
                <w:lang w:val="zh-CN"/>
                <w14:textFill>
                  <w14:solidFill>
                    <w14:schemeClr w14:val="tx1"/>
                  </w14:solidFill>
                </w14:textFill>
              </w:rPr>
              <w:t>～</w:t>
            </w:r>
            <w:r>
              <w:rPr>
                <w:rFonts w:hint="eastAsia" w:ascii="宋体" w:hAnsi="宋体" w:cs="宋体"/>
                <w:color w:val="333333"/>
                <w:szCs w:val="21"/>
                <w:shd w:val="clear" w:color="auto" w:fill="FFFFFF"/>
              </w:rPr>
              <w:t>30g/亩</w:t>
            </w:r>
          </w:p>
        </w:tc>
        <w:tc>
          <w:tcPr>
            <w:tcW w:w="1207" w:type="dxa"/>
            <w:tcBorders>
              <w:top w:val="single" w:color="auto" w:sz="4" w:space="0"/>
              <w:left w:val="single" w:color="auto" w:sz="4" w:space="0"/>
              <w:right w:val="single" w:color="auto" w:sz="4" w:space="0"/>
            </w:tcBorders>
            <w:vAlign w:val="center"/>
          </w:tcPr>
          <w:p w14:paraId="6D475E50">
            <w:pPr>
              <w:widowControl/>
              <w:adjustRightInd w:val="0"/>
              <w:snapToGrid w:val="0"/>
              <w:jc w:val="center"/>
              <w:rPr>
                <w:rFonts w:ascii="宋体" w:hAnsi="宋体" w:cs="宋体"/>
                <w:kern w:val="0"/>
                <w:szCs w:val="21"/>
                <w:lang w:val="zh-CN"/>
              </w:rPr>
            </w:pPr>
            <w:r>
              <w:rPr>
                <w:rFonts w:hint="eastAsia" w:ascii="宋体" w:hAnsi="宋体" w:cs="宋体"/>
                <w:kern w:val="0"/>
                <w:szCs w:val="21"/>
                <w:lang w:val="zh-CN"/>
              </w:rPr>
              <w:t>喷雾</w:t>
            </w:r>
          </w:p>
        </w:tc>
        <w:tc>
          <w:tcPr>
            <w:tcW w:w="1282" w:type="dxa"/>
            <w:tcBorders>
              <w:top w:val="single" w:color="auto" w:sz="4" w:space="0"/>
              <w:left w:val="single" w:color="auto" w:sz="4" w:space="0"/>
              <w:bottom w:val="single" w:color="auto" w:sz="4" w:space="0"/>
              <w:right w:val="single" w:color="auto" w:sz="4" w:space="0"/>
            </w:tcBorders>
            <w:vAlign w:val="center"/>
          </w:tcPr>
          <w:p w14:paraId="3CF137AF">
            <w:pPr>
              <w:widowControl/>
              <w:adjustRightInd w:val="0"/>
              <w:snapToGrid w:val="0"/>
              <w:jc w:val="center"/>
              <w:rPr>
                <w:rFonts w:ascii="宋体" w:hAnsi="宋体" w:cs="宋体"/>
                <w:kern w:val="0"/>
                <w:szCs w:val="21"/>
              </w:rPr>
            </w:pPr>
            <w:r>
              <w:rPr>
                <w:rFonts w:hint="eastAsia" w:ascii="宋体" w:hAnsi="宋体" w:cs="宋体"/>
                <w:kern w:val="0"/>
                <w:szCs w:val="21"/>
              </w:rPr>
              <w:t>7</w:t>
            </w:r>
          </w:p>
        </w:tc>
      </w:tr>
      <w:tr w14:paraId="174DC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820" w:type="dxa"/>
            <w:gridSpan w:val="6"/>
            <w:tcBorders>
              <w:top w:val="single" w:color="auto" w:sz="4" w:space="0"/>
              <w:left w:val="single" w:color="auto" w:sz="4" w:space="0"/>
              <w:bottom w:val="single" w:color="auto" w:sz="4" w:space="0"/>
              <w:right w:val="single" w:color="auto" w:sz="4" w:space="0"/>
            </w:tcBorders>
            <w:vAlign w:val="center"/>
          </w:tcPr>
          <w:p w14:paraId="57D94DCF">
            <w:pPr>
              <w:rPr>
                <w:rFonts w:ascii="宋体" w:hAnsi="宋体" w:cs="宋体"/>
                <w:color w:val="000000"/>
                <w:kern w:val="0"/>
                <w:szCs w:val="21"/>
              </w:rPr>
            </w:pPr>
            <w:r>
              <w:rPr>
                <w:rFonts w:hint="eastAsia" w:ascii="宋体" w:hAnsi="宋体" w:cs="宋体"/>
                <w:color w:val="000000"/>
                <w:kern w:val="0"/>
                <w:szCs w:val="21"/>
              </w:rPr>
              <w:t>注：农药使用以最新版本NY/T393的规定为准。</w:t>
            </w:r>
          </w:p>
        </w:tc>
      </w:tr>
    </w:tbl>
    <w:p w14:paraId="334B29B7">
      <w:pPr>
        <w:pStyle w:val="45"/>
      </w:pPr>
    </w:p>
    <w:p w14:paraId="49C76429">
      <w:pPr>
        <w:pStyle w:val="45"/>
      </w:pPr>
      <w:r>
        <w:rPr>
          <w:rFonts w:hint="eastAsia"/>
        </w:rPr>
        <mc:AlternateContent>
          <mc:Choice Requires="wps">
            <w:drawing>
              <wp:anchor distT="0" distB="0" distL="114300" distR="114300" simplePos="0" relativeHeight="251661312" behindDoc="0" locked="0" layoutInCell="1" allowOverlap="1">
                <wp:simplePos x="0" y="0"/>
                <wp:positionH relativeFrom="column">
                  <wp:posOffset>1656715</wp:posOffset>
                </wp:positionH>
                <wp:positionV relativeFrom="paragraph">
                  <wp:posOffset>118745</wp:posOffset>
                </wp:positionV>
                <wp:extent cx="2124075" cy="0"/>
                <wp:effectExtent l="0" t="0" r="28575" b="19050"/>
                <wp:wrapNone/>
                <wp:docPr id="2" name="直接连接符 2"/>
                <wp:cNvGraphicFramePr/>
                <a:graphic xmlns:a="http://schemas.openxmlformats.org/drawingml/2006/main">
                  <a:graphicData uri="http://schemas.microsoft.com/office/word/2010/wordprocessingShape">
                    <wps:wsp>
                      <wps:cNvCnPr/>
                      <wps:spPr>
                        <a:xfrm>
                          <a:off x="0" y="0"/>
                          <a:ext cx="21240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30.45pt;margin-top:9.35pt;height:0pt;width:167.25pt;z-index:251661312;mso-width-relative:page;mso-height-relative:page;" filled="f" stroked="t" coordsize="21600,21600" o:gfxdata="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CxnrvA1wAAAAkBAAAPAAAAAAAAAAEA&#10;IAAAACIAAABkcnMvZG93bnJldi54bWxQSwECFAAUAAAACACHTuJA9/vHVtcBAACaAwAADgAAAAAA&#10;AAABACAAAAAmAQAAZHJzL2Uyb0RvYy54bWxQSwUGAAAAAAYABgBZAQAAbwUAAAAA&#10;">
                <v:fill on="f" focussize="0,0"/>
                <v:stroke color="#000000 [3213]" joinstyle="round"/>
                <v:imagedata o:title=""/>
                <o:lock v:ext="edit" aspectratio="f"/>
              </v:line>
            </w:pict>
          </mc:Fallback>
        </mc:AlternateContent>
      </w:r>
    </w:p>
    <w:sectPr>
      <w:headerReference r:id="rId12" w:type="first"/>
      <w:headerReference r:id="rId10" w:type="default"/>
      <w:footerReference r:id="rId13" w:type="default"/>
      <w:headerReference r:id="rId11" w:type="even"/>
      <w:footerReference r:id="rId14" w:type="even"/>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437B51">
    <w:pPr>
      <w:pStyle w:val="11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88917542"/>
      <w:docPartObj>
        <w:docPartGallery w:val="AutoText"/>
      </w:docPartObj>
    </w:sdtPr>
    <w:sdtContent>
      <w:p w14:paraId="075D8857">
        <w:pPr>
          <w:pStyle w:val="17"/>
          <w:ind w:right="0" w:rightChars="0"/>
        </w:pPr>
        <w:r>
          <w:fldChar w:fldCharType="begin"/>
        </w:r>
        <w:r>
          <w:instrText xml:space="preserve">PAGE   \* MERGEFORMAT</w:instrText>
        </w:r>
        <w:r>
          <w:fldChar w:fldCharType="separate"/>
        </w:r>
        <w:r>
          <w:rPr>
            <w:lang w:val="zh-CN"/>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60145855"/>
      <w:docPartObj>
        <w:docPartGallery w:val="AutoText"/>
      </w:docPartObj>
    </w:sdtPr>
    <w:sdtContent>
      <w:p w14:paraId="302EC70A">
        <w:pPr>
          <w:pStyle w:val="17"/>
          <w:jc w:val="left"/>
        </w:pPr>
        <w:r>
          <w:fldChar w:fldCharType="begin"/>
        </w:r>
        <w:r>
          <w:instrText xml:space="preserve">PAGE   \* MERGEFORMAT</w:instrText>
        </w:r>
        <w:r>
          <w:fldChar w:fldCharType="separate"/>
        </w:r>
        <w:r>
          <w:rPr>
            <w:lang w:val="zh-CN"/>
          </w:rPr>
          <w:t>6</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BD7C89">
    <w:pPr>
      <w:pStyle w:val="18"/>
    </w:pPr>
    <w:r>
      <w:pict>
        <v:shape id="WordPictureWatermark26361487" o:spid="_x0000_s2051" o:spt="75" type="#_x0000_t75" style="position:absolute;left:0pt;height:387pt;width:415.25pt;mso-position-horizontal:center;mso-position-horizontal-relative:margin;mso-position-vertical:center;mso-position-vertical-relative:margin;z-index:-251652096;mso-width-relative:page;mso-height-relative:page;" filled="f" o:preferrelative="t" stroked="f" coordsize="21600,21600" o:allowincell="f">
          <v:path/>
          <v:fill on="f" focussize="0,0"/>
          <v:stroke on="f" joinstyle="miter"/>
          <v:imagedata r:id="rId1" gain="19661f" blacklevel="22938f" o:title="绿标png"/>
          <o:lock v:ext="edit" aspectratio="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9EEEAC">
    <w:pPr>
      <w:pStyle w:val="18"/>
    </w:pPr>
    <w:r>
      <w:pict>
        <v:shape id="WordPictureWatermark26361486" o:spid="_x0000_s2050" o:spt="75" type="#_x0000_t75" style="position:absolute;left:0pt;height:387pt;width:415.25pt;mso-position-horizontal:center;mso-position-horizontal-relative:margin;mso-position-vertical:center;mso-position-vertical-relative:margin;z-index:-251653120;mso-width-relative:page;mso-height-relative:page;" filled="f" o:preferrelative="t" stroked="f" coordsize="21600,21600" o:allowincell="f">
          <v:path/>
          <v:fill on="f" focussize="0,0"/>
          <v:stroke on="f" joinstyle="miter"/>
          <v:imagedata r:id="rId1" gain="19661f" blacklevel="22938f" o:title="绿标png"/>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55C47E">
    <w:pPr>
      <w:pStyle w:val="18"/>
    </w:pPr>
    <w:r>
      <w:pict>
        <v:shape id="WordPictureWatermark26361485" o:spid="_x0000_s2049" o:spt="75" type="#_x0000_t75" style="position:absolute;left:0pt;height:387pt;width:415.25pt;mso-position-horizontal:center;mso-position-horizontal-relative:margin;mso-position-vertical:center;mso-position-vertical-relative:margin;z-index:-251654144;mso-width-relative:page;mso-height-relative:page;" filled="f" o:preferrelative="t" stroked="f" coordsize="21600,21600" o:allowincell="f">
          <v:path/>
          <v:fill on="f" focussize="0,0"/>
          <v:stroke on="f" joinstyle="miter"/>
          <v:imagedata r:id="rId1" gain="19661f" blacklevel="22938f" o:title="绿标png"/>
          <o:lock v:ext="edit" aspectratio="t"/>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E60419">
    <w:pPr>
      <w:pStyle w:val="18"/>
    </w:pPr>
    <w:r>
      <w:pict>
        <v:shape id="WordPictureWatermark26361490" o:spid="_x0000_s2054" o:spt="75" type="#_x0000_t75" style="position:absolute;left:0pt;height:387pt;width:415.25pt;mso-position-horizontal:center;mso-position-horizontal-relative:margin;mso-position-vertical:center;mso-position-vertical-relative:margin;z-index:-251649024;mso-width-relative:page;mso-height-relative:page;" filled="f" o:preferrelative="t" stroked="f" coordsize="21600,21600" o:allowincell="f">
          <v:path/>
          <v:fill on="f" focussize="0,0"/>
          <v:stroke on="f" joinstyle="miter"/>
          <v:imagedata r:id="rId1" gain="19661f" blacklevel="22938f" o:title="绿标png"/>
          <o:lock v:ext="edit" aspectratio="t"/>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2BED73">
    <w:pPr>
      <w:pStyle w:val="18"/>
    </w:pPr>
    <w:r>
      <w:pict>
        <v:shape id="WordPictureWatermark26361489" o:spid="_x0000_s2053" o:spt="75" type="#_x0000_t75" style="position:absolute;left:0pt;height:387pt;width:415.25pt;mso-position-horizontal:center;mso-position-horizontal-relative:margin;mso-position-vertical:center;mso-position-vertical-relative:margin;z-index:-251650048;mso-width-relative:page;mso-height-relative:page;" filled="f" o:preferrelative="t" stroked="f" coordsize="21600,21600" o:allowincell="f">
          <v:path/>
          <v:fill on="f" focussize="0,0"/>
          <v:stroke on="f" joinstyle="miter"/>
          <v:imagedata r:id="rId1" gain="19661f" blacklevel="22938f" o:title="绿标png"/>
          <o:lock v:ext="edit" aspectratio="t"/>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25CDF2">
    <w:pPr>
      <w:pStyle w:val="18"/>
    </w:pPr>
    <w:r>
      <w:pict>
        <v:shape id="WordPictureWatermark26361488" o:spid="_x0000_s2052" o:spt="75" type="#_x0000_t75" style="position:absolute;left:0pt;height:387pt;width:415.25pt;mso-position-horizontal:center;mso-position-horizontal-relative:margin;mso-position-vertical:center;mso-position-vertical-relative:margin;z-index:-251651072;mso-width-relative:page;mso-height-relative:page;" filled="f" o:preferrelative="t" stroked="f" coordsize="21600,21600" o:allowincell="f">
          <v:path/>
          <v:fill on="f" focussize="0,0"/>
          <v:stroke on="f" joinstyle="miter"/>
          <v:imagedata r:id="rId1" gain="19661f" blacklevel="22938f" o:title="绿标png"/>
          <o:lock v:ext="edit" aspectratio="t"/>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AD8568">
    <w:pPr>
      <w:pStyle w:val="18"/>
    </w:pPr>
    <w:r>
      <w:pict>
        <v:shape id="WordPictureWatermark26361496" o:spid="_x0000_s2060" o:spt="75" type="#_x0000_t75" style="position:absolute;left:0pt;height:387pt;width:415.25pt;mso-position-horizontal:center;mso-position-horizontal-relative:margin;mso-position-vertical:center;mso-position-vertical-relative:margin;z-index:-251642880;mso-width-relative:page;mso-height-relative:page;" filled="f" o:preferrelative="t" stroked="f" coordsize="21600,21600" o:allowincell="f">
          <v:path/>
          <v:fill on="f" focussize="0,0"/>
          <v:stroke on="f" joinstyle="miter"/>
          <v:imagedata r:id="rId1" gain="19661f" blacklevel="22938f" o:title="绿标png"/>
          <o:lock v:ext="edit" aspectratio="t"/>
        </v:shape>
      </w:pict>
    </w:r>
    <w:r>
      <w:pict>
        <v:shape id="WordPictureWatermark26361493" o:spid="_x0000_s2057" o:spt="75" type="#_x0000_t75" style="position:absolute;left:0pt;height:387pt;width:415.25pt;mso-position-horizontal:center;mso-position-horizontal-relative:margin;mso-position-vertical:center;mso-position-vertical-relative:margin;z-index:-251645952;mso-width-relative:page;mso-height-relative:page;" filled="f" o:preferrelative="t" stroked="f" coordsize="21600,21600" o:allowincell="f">
          <v:path/>
          <v:fill on="f" focussize="0,0"/>
          <v:stroke on="f" joinstyle="miter"/>
          <v:imagedata r:id="rId1" gain="19661f" blacklevel="22938f" o:title="绿标png"/>
          <o:lock v:ext="edit" aspectratio="t"/>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B7B79B">
    <w:pPr>
      <w:pStyle w:val="18"/>
    </w:pPr>
    <w:r>
      <w:pict>
        <v:shape id="WordPictureWatermark26361495" o:spid="_x0000_s2059" o:spt="75" type="#_x0000_t75" style="position:absolute;left:0pt;height:387pt;width:415.25pt;mso-position-horizontal:center;mso-position-horizontal-relative:margin;mso-position-vertical:center;mso-position-vertical-relative:margin;z-index:-251643904;mso-width-relative:page;mso-height-relative:page;" filled="f" o:preferrelative="t" stroked="f" coordsize="21600,21600" o:allowincell="f">
          <v:path/>
          <v:fill on="f" focussize="0,0"/>
          <v:stroke on="f" joinstyle="miter"/>
          <v:imagedata r:id="rId1" gain="19661f" blacklevel="22938f" o:title="绿标png"/>
          <o:lock v:ext="edit" aspectratio="t"/>
        </v:shape>
      </w:pict>
    </w:r>
    <w:r>
      <w:pict>
        <v:shape id="WordPictureWatermark26361492" o:spid="_x0000_s2056" o:spt="75" type="#_x0000_t75" style="position:absolute;left:0pt;height:387pt;width:415.25pt;mso-position-horizontal:center;mso-position-horizontal-relative:margin;mso-position-vertical:center;mso-position-vertical-relative:margin;z-index:-251646976;mso-width-relative:page;mso-height-relative:page;" filled="f" o:preferrelative="t" stroked="f" coordsize="21600,21600" o:allowincell="f">
          <v:path/>
          <v:fill on="f" focussize="0,0"/>
          <v:stroke on="f" joinstyle="miter"/>
          <v:imagedata r:id="rId1" gain="19661f" blacklevel="22938f" o:title="绿标png"/>
          <o:lock v:ext="edit" aspectratio="t"/>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185A23">
    <w:pPr>
      <w:pStyle w:val="18"/>
    </w:pPr>
    <w:r>
      <w:pict>
        <v:shape id="WordPictureWatermark26361494" o:spid="_x0000_s2058" o:spt="75" type="#_x0000_t75" style="position:absolute;left:0pt;height:387pt;width:415.25pt;mso-position-horizontal:center;mso-position-horizontal-relative:margin;mso-position-vertical:center;mso-position-vertical-relative:margin;z-index:-251644928;mso-width-relative:page;mso-height-relative:page;" filled="f" o:preferrelative="t" stroked="f" coordsize="21600,21600" o:allowincell="f">
          <v:path/>
          <v:fill on="f" focussize="0,0"/>
          <v:stroke on="f" joinstyle="miter"/>
          <v:imagedata r:id="rId1" gain="19661f" blacklevel="22938f" o:title="绿标png"/>
          <o:lock v:ext="edit" aspectratio="t"/>
        </v:shape>
      </w:pict>
    </w:r>
    <w:r>
      <w:pict>
        <v:shape id="WordPictureWatermark26361491" o:spid="_x0000_s2055" o:spt="75" type="#_x0000_t75" style="position:absolute;left:0pt;height:387pt;width:415.25pt;mso-position-horizontal:center;mso-position-horizontal-relative:margin;mso-position-vertical:center;mso-position-vertical-relative:margin;z-index:-251648000;mso-width-relative:page;mso-height-relative:page;" filled="f" o:preferrelative="t" stroked="f" coordsize="21600,21600" o:allowincell="f">
          <v:path/>
          <v:fill on="f" focussize="0,0"/>
          <v:stroke on="f" joinstyle="miter"/>
          <v:imagedata r:id="rId1" gain="19661f" blacklevel="22938f" o:title="绿标png"/>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106"/>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44"/>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AE367E9"/>
    <w:multiLevelType w:val="multilevel"/>
    <w:tmpl w:val="0AE367E9"/>
    <w:lvl w:ilvl="0" w:tentative="0">
      <w:start w:val="1"/>
      <w:numFmt w:val="none"/>
      <w:pStyle w:val="89"/>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
    <w:nsid w:val="0DDE2B46"/>
    <w:multiLevelType w:val="multilevel"/>
    <w:tmpl w:val="0DDE2B46"/>
    <w:lvl w:ilvl="0" w:tentative="0">
      <w:start w:val="1"/>
      <w:numFmt w:val="lowerLetter"/>
      <w:pStyle w:val="65"/>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4">
    <w:nsid w:val="1DBF583A"/>
    <w:multiLevelType w:val="multilevel"/>
    <w:tmpl w:val="1DBF583A"/>
    <w:lvl w:ilvl="0" w:tentative="0">
      <w:start w:val="1"/>
      <w:numFmt w:val="decimal"/>
      <w:pStyle w:val="126"/>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5">
    <w:nsid w:val="1FC91163"/>
    <w:multiLevelType w:val="multilevel"/>
    <w:tmpl w:val="1FC91163"/>
    <w:lvl w:ilvl="0" w:tentative="0">
      <w:start w:val="1"/>
      <w:numFmt w:val="decimal"/>
      <w:pStyle w:val="91"/>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77"/>
      <w:suff w:val="nothing"/>
      <w:lvlText w:val="%1.%2　"/>
      <w:lvlJc w:val="left"/>
      <w:pPr>
        <w:ind w:left="4537"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76"/>
      <w:suff w:val="nothing"/>
      <w:lvlText w:val="%1.%2.%3　"/>
      <w:lvlJc w:val="left"/>
      <w:pPr>
        <w:ind w:left="1985" w:firstLine="0"/>
      </w:pPr>
      <w:rPr>
        <w:rFonts w:hint="eastAsia" w:ascii="黑体" w:hAnsi="Times New Roman" w:eastAsia="黑体"/>
        <w:b w:val="0"/>
        <w:i w:val="0"/>
        <w:sz w:val="21"/>
      </w:rPr>
    </w:lvl>
    <w:lvl w:ilvl="3" w:tentative="0">
      <w:start w:val="1"/>
      <w:numFmt w:val="decimal"/>
      <w:pStyle w:val="75"/>
      <w:suff w:val="nothing"/>
      <w:lvlText w:val="%1.%2.%3.%4　"/>
      <w:lvlJc w:val="left"/>
      <w:pPr>
        <w:ind w:left="568" w:firstLine="0"/>
      </w:pPr>
      <w:rPr>
        <w:rFonts w:hint="eastAsia" w:ascii="黑体" w:hAnsi="Times New Roman" w:eastAsia="黑体"/>
        <w:b w:val="0"/>
        <w:i w:val="0"/>
        <w:sz w:val="21"/>
      </w:rPr>
    </w:lvl>
    <w:lvl w:ilvl="4" w:tentative="0">
      <w:start w:val="1"/>
      <w:numFmt w:val="decimal"/>
      <w:pStyle w:val="74"/>
      <w:suff w:val="nothing"/>
      <w:lvlText w:val="%1.%2.%3.%4.%5　"/>
      <w:lvlJc w:val="left"/>
      <w:pPr>
        <w:ind w:left="0" w:firstLine="0"/>
      </w:pPr>
      <w:rPr>
        <w:rFonts w:hint="eastAsia" w:ascii="黑体" w:hAnsi="Times New Roman" w:eastAsia="黑体"/>
        <w:b w:val="0"/>
        <w:i w:val="0"/>
        <w:sz w:val="21"/>
      </w:rPr>
    </w:lvl>
    <w:lvl w:ilvl="5" w:tentative="0">
      <w:start w:val="1"/>
      <w:numFmt w:val="decimal"/>
      <w:pStyle w:val="73"/>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2A8F7113"/>
    <w:multiLevelType w:val="multilevel"/>
    <w:tmpl w:val="2A8F7113"/>
    <w:lvl w:ilvl="0" w:tentative="0">
      <w:start w:val="1"/>
      <w:numFmt w:val="upperLetter"/>
      <w:pStyle w:val="86"/>
      <w:suff w:val="space"/>
      <w:lvlText w:val="%1"/>
      <w:lvlJc w:val="left"/>
      <w:pPr>
        <w:ind w:left="623" w:hanging="425"/>
      </w:pPr>
      <w:rPr>
        <w:rFonts w:hint="eastAsia"/>
      </w:rPr>
    </w:lvl>
    <w:lvl w:ilvl="1" w:tentative="0">
      <w:start w:val="1"/>
      <w:numFmt w:val="decimal"/>
      <w:pStyle w:val="132"/>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7">
    <w:nsid w:val="2C5917C3"/>
    <w:multiLevelType w:val="multilevel"/>
    <w:tmpl w:val="2C5917C3"/>
    <w:lvl w:ilvl="0" w:tentative="0">
      <w:start w:val="1"/>
      <w:numFmt w:val="none"/>
      <w:pStyle w:val="116"/>
      <w:suff w:val="nothing"/>
      <w:lvlText w:val="%1——"/>
      <w:lvlJc w:val="left"/>
      <w:pPr>
        <w:ind w:left="833" w:hanging="408"/>
      </w:pPr>
      <w:rPr>
        <w:rFonts w:hint="eastAsia"/>
      </w:rPr>
    </w:lvl>
    <w:lvl w:ilvl="1" w:tentative="0">
      <w:start w:val="1"/>
      <w:numFmt w:val="bullet"/>
      <w:pStyle w:val="88"/>
      <w:lvlText w:val=""/>
      <w:lvlJc w:val="left"/>
      <w:pPr>
        <w:tabs>
          <w:tab w:val="left" w:pos="760"/>
        </w:tabs>
        <w:ind w:left="1264" w:hanging="413"/>
      </w:pPr>
      <w:rPr>
        <w:rFonts w:hint="default" w:ascii="Symbol" w:hAnsi="Symbol"/>
        <w:color w:val="auto"/>
      </w:rPr>
    </w:lvl>
    <w:lvl w:ilvl="2" w:tentative="0">
      <w:start w:val="1"/>
      <w:numFmt w:val="bullet"/>
      <w:pStyle w:val="109"/>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8">
    <w:nsid w:val="3D733618"/>
    <w:multiLevelType w:val="multilevel"/>
    <w:tmpl w:val="3D733618"/>
    <w:lvl w:ilvl="0" w:tentative="0">
      <w:start w:val="1"/>
      <w:numFmt w:val="decimal"/>
      <w:pStyle w:val="23"/>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9">
    <w:nsid w:val="44C50F90"/>
    <w:multiLevelType w:val="multilevel"/>
    <w:tmpl w:val="44C50F90"/>
    <w:lvl w:ilvl="0" w:tentative="0">
      <w:start w:val="1"/>
      <w:numFmt w:val="lowerLetter"/>
      <w:pStyle w:val="87"/>
      <w:lvlText w:val="%1)"/>
      <w:lvlJc w:val="left"/>
      <w:pPr>
        <w:tabs>
          <w:tab w:val="left" w:pos="840"/>
        </w:tabs>
        <w:ind w:left="839" w:hanging="419"/>
      </w:pPr>
      <w:rPr>
        <w:rFonts w:hint="eastAsia" w:ascii="宋体" w:eastAsia="宋体"/>
        <w:b w:val="0"/>
        <w:i w:val="0"/>
        <w:sz w:val="21"/>
        <w:szCs w:val="21"/>
      </w:rPr>
    </w:lvl>
    <w:lvl w:ilvl="1" w:tentative="0">
      <w:start w:val="1"/>
      <w:numFmt w:val="decimal"/>
      <w:pStyle w:val="121"/>
      <w:lvlText w:val="%2)"/>
      <w:lvlJc w:val="left"/>
      <w:pPr>
        <w:tabs>
          <w:tab w:val="left" w:pos="1260"/>
        </w:tabs>
        <w:ind w:left="1259" w:hanging="419"/>
      </w:pPr>
      <w:rPr>
        <w:rFonts w:hint="eastAsia"/>
      </w:rPr>
    </w:lvl>
    <w:lvl w:ilvl="2" w:tentative="0">
      <w:start w:val="1"/>
      <w:numFmt w:val="decimal"/>
      <w:pStyle w:val="103"/>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0">
    <w:nsid w:val="4B733A5F"/>
    <w:multiLevelType w:val="multilevel"/>
    <w:tmpl w:val="4B733A5F"/>
    <w:lvl w:ilvl="0" w:tentative="0">
      <w:start w:val="1"/>
      <w:numFmt w:val="decimal"/>
      <w:pStyle w:val="90"/>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1">
    <w:nsid w:val="557C2AF5"/>
    <w:multiLevelType w:val="multilevel"/>
    <w:tmpl w:val="557C2AF5"/>
    <w:lvl w:ilvl="0" w:tentative="0">
      <w:start w:val="1"/>
      <w:numFmt w:val="decimal"/>
      <w:pStyle w:val="101"/>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60B55DC2"/>
    <w:multiLevelType w:val="multilevel"/>
    <w:tmpl w:val="60B55DC2"/>
    <w:lvl w:ilvl="0" w:tentative="0">
      <w:start w:val="1"/>
      <w:numFmt w:val="upperLetter"/>
      <w:pStyle w:val="129"/>
      <w:lvlText w:val="%1"/>
      <w:lvlJc w:val="left"/>
      <w:pPr>
        <w:tabs>
          <w:tab w:val="left" w:pos="0"/>
        </w:tabs>
        <w:ind w:left="0" w:hanging="425"/>
      </w:pPr>
      <w:rPr>
        <w:rFonts w:hint="eastAsia"/>
      </w:rPr>
    </w:lvl>
    <w:lvl w:ilvl="1" w:tentative="0">
      <w:start w:val="1"/>
      <w:numFmt w:val="decimal"/>
      <w:pStyle w:val="102"/>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3">
    <w:nsid w:val="646260FA"/>
    <w:multiLevelType w:val="multilevel"/>
    <w:tmpl w:val="646260FA"/>
    <w:lvl w:ilvl="0" w:tentative="0">
      <w:start w:val="1"/>
      <w:numFmt w:val="decimal"/>
      <w:pStyle w:val="92"/>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4">
    <w:nsid w:val="657D3FBC"/>
    <w:multiLevelType w:val="multilevel"/>
    <w:tmpl w:val="657D3FBC"/>
    <w:lvl w:ilvl="0" w:tentative="0">
      <w:start w:val="1"/>
      <w:numFmt w:val="upperLetter"/>
      <w:pStyle w:val="107"/>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81"/>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pStyle w:val="58"/>
      <w:suff w:val="nothing"/>
      <w:lvlText w:val="%1.%2.%3.%4　"/>
      <w:lvlJc w:val="left"/>
      <w:pPr>
        <w:ind w:left="0" w:firstLine="0"/>
      </w:pPr>
      <w:rPr>
        <w:rFonts w:hint="eastAsia" w:ascii="黑体" w:hAnsi="Times New Roman" w:eastAsia="黑体"/>
        <w:b w:val="0"/>
        <w:i w:val="0"/>
        <w:sz w:val="21"/>
      </w:rPr>
    </w:lvl>
    <w:lvl w:ilvl="4" w:tentative="0">
      <w:start w:val="1"/>
      <w:numFmt w:val="decimal"/>
      <w:pStyle w:val="57"/>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D6C07CD"/>
    <w:multiLevelType w:val="multilevel"/>
    <w:tmpl w:val="6D6C07CD"/>
    <w:lvl w:ilvl="0" w:tentative="0">
      <w:start w:val="1"/>
      <w:numFmt w:val="lowerLetter"/>
      <w:pStyle w:val="137"/>
      <w:lvlText w:val="%1)"/>
      <w:lvlJc w:val="left"/>
      <w:pPr>
        <w:tabs>
          <w:tab w:val="left" w:pos="839"/>
        </w:tabs>
        <w:ind w:left="839" w:hanging="419"/>
      </w:pPr>
      <w:rPr>
        <w:rFonts w:hint="eastAsia" w:ascii="宋体" w:eastAsia="宋体"/>
        <w:b w:val="0"/>
        <w:i w:val="0"/>
        <w:sz w:val="21"/>
      </w:rPr>
    </w:lvl>
    <w:lvl w:ilvl="1" w:tentative="0">
      <w:start w:val="1"/>
      <w:numFmt w:val="decimal"/>
      <w:pStyle w:val="70"/>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6">
    <w:nsid w:val="6DBF04F4"/>
    <w:multiLevelType w:val="multilevel"/>
    <w:tmpl w:val="6DBF04F4"/>
    <w:lvl w:ilvl="0" w:tentative="0">
      <w:start w:val="1"/>
      <w:numFmt w:val="none"/>
      <w:pStyle w:val="78"/>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8"/>
  </w:num>
  <w:num w:numId="2">
    <w:abstractNumId w:val="1"/>
  </w:num>
  <w:num w:numId="3">
    <w:abstractNumId w:val="14"/>
  </w:num>
  <w:num w:numId="4">
    <w:abstractNumId w:val="3"/>
  </w:num>
  <w:num w:numId="5">
    <w:abstractNumId w:val="15"/>
  </w:num>
  <w:num w:numId="6">
    <w:abstractNumId w:val="5"/>
  </w:num>
  <w:num w:numId="7">
    <w:abstractNumId w:val="16"/>
  </w:num>
  <w:num w:numId="8">
    <w:abstractNumId w:val="6"/>
  </w:num>
  <w:num w:numId="9">
    <w:abstractNumId w:val="9"/>
  </w:num>
  <w:num w:numId="10">
    <w:abstractNumId w:val="7"/>
  </w:num>
  <w:num w:numId="11">
    <w:abstractNumId w:val="2"/>
  </w:num>
  <w:num w:numId="12">
    <w:abstractNumId w:val="10"/>
  </w:num>
  <w:num w:numId="13">
    <w:abstractNumId w:val="13"/>
  </w:num>
  <w:num w:numId="14">
    <w:abstractNumId w:val="11"/>
  </w:num>
  <w:num w:numId="15">
    <w:abstractNumId w:val="12"/>
  </w:num>
  <w:num w:numId="16">
    <w:abstractNumId w:val="0"/>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evenAndOddHeaders w:val="1"/>
  <w:drawingGridHorizontalSpacing w:val="105"/>
  <w:drawingGridVerticalSpacing w:val="156"/>
  <w:displayHorizontalDrawingGridEvery w:val="2"/>
  <w:displayVerticalDrawingGridEvery w:val="2"/>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Y4ZDQ5NmU0Y2IzNmRhN2NmNzM2NjYzYzUxYWFkZjcifQ=="/>
  </w:docVars>
  <w:rsids>
    <w:rsidRoot w:val="000C19FC"/>
    <w:rsid w:val="000038A8"/>
    <w:rsid w:val="00017A97"/>
    <w:rsid w:val="000274FA"/>
    <w:rsid w:val="0006384E"/>
    <w:rsid w:val="0007378B"/>
    <w:rsid w:val="00077116"/>
    <w:rsid w:val="000861FF"/>
    <w:rsid w:val="000905B5"/>
    <w:rsid w:val="0009710E"/>
    <w:rsid w:val="00097178"/>
    <w:rsid w:val="000B05F1"/>
    <w:rsid w:val="000C19FC"/>
    <w:rsid w:val="000D586E"/>
    <w:rsid w:val="000E1D3D"/>
    <w:rsid w:val="000E7E92"/>
    <w:rsid w:val="000F5DCD"/>
    <w:rsid w:val="00154BC9"/>
    <w:rsid w:val="00156B6D"/>
    <w:rsid w:val="00180CBB"/>
    <w:rsid w:val="001901C3"/>
    <w:rsid w:val="001A5389"/>
    <w:rsid w:val="001A55F4"/>
    <w:rsid w:val="001D063A"/>
    <w:rsid w:val="001F1E08"/>
    <w:rsid w:val="001F357C"/>
    <w:rsid w:val="00215405"/>
    <w:rsid w:val="00217E37"/>
    <w:rsid w:val="00222497"/>
    <w:rsid w:val="00222512"/>
    <w:rsid w:val="0023101C"/>
    <w:rsid w:val="00231C64"/>
    <w:rsid w:val="00282DA7"/>
    <w:rsid w:val="002A2381"/>
    <w:rsid w:val="002C6823"/>
    <w:rsid w:val="002F249F"/>
    <w:rsid w:val="00334A72"/>
    <w:rsid w:val="00341CEF"/>
    <w:rsid w:val="00342A1B"/>
    <w:rsid w:val="003537E3"/>
    <w:rsid w:val="003928F3"/>
    <w:rsid w:val="003A1F2B"/>
    <w:rsid w:val="003C4DC8"/>
    <w:rsid w:val="003C52B9"/>
    <w:rsid w:val="003F38FC"/>
    <w:rsid w:val="00407AED"/>
    <w:rsid w:val="00415E81"/>
    <w:rsid w:val="00424251"/>
    <w:rsid w:val="00430555"/>
    <w:rsid w:val="004536C8"/>
    <w:rsid w:val="00477547"/>
    <w:rsid w:val="00497854"/>
    <w:rsid w:val="004A409B"/>
    <w:rsid w:val="004C7A07"/>
    <w:rsid w:val="004D197F"/>
    <w:rsid w:val="004E485C"/>
    <w:rsid w:val="004F293E"/>
    <w:rsid w:val="004F4D85"/>
    <w:rsid w:val="005077ED"/>
    <w:rsid w:val="00512FAF"/>
    <w:rsid w:val="005326D8"/>
    <w:rsid w:val="00582B6D"/>
    <w:rsid w:val="0059573D"/>
    <w:rsid w:val="005C33A3"/>
    <w:rsid w:val="005C513D"/>
    <w:rsid w:val="005D0AF7"/>
    <w:rsid w:val="005E3B63"/>
    <w:rsid w:val="005F1B17"/>
    <w:rsid w:val="006178D9"/>
    <w:rsid w:val="006328AE"/>
    <w:rsid w:val="00676393"/>
    <w:rsid w:val="006B217C"/>
    <w:rsid w:val="006F497F"/>
    <w:rsid w:val="00704AF9"/>
    <w:rsid w:val="007103D1"/>
    <w:rsid w:val="007355FF"/>
    <w:rsid w:val="007453DF"/>
    <w:rsid w:val="00745663"/>
    <w:rsid w:val="00745BDD"/>
    <w:rsid w:val="00753286"/>
    <w:rsid w:val="007632F0"/>
    <w:rsid w:val="00773F7F"/>
    <w:rsid w:val="007849F1"/>
    <w:rsid w:val="007A6A8C"/>
    <w:rsid w:val="007C0DD5"/>
    <w:rsid w:val="007C17E0"/>
    <w:rsid w:val="007C34DB"/>
    <w:rsid w:val="007D03D3"/>
    <w:rsid w:val="007E4304"/>
    <w:rsid w:val="007F671F"/>
    <w:rsid w:val="008034D8"/>
    <w:rsid w:val="0080519A"/>
    <w:rsid w:val="00810BF4"/>
    <w:rsid w:val="00810F5F"/>
    <w:rsid w:val="0081290A"/>
    <w:rsid w:val="00823BE3"/>
    <w:rsid w:val="008331F1"/>
    <w:rsid w:val="00834684"/>
    <w:rsid w:val="00834F1B"/>
    <w:rsid w:val="00866D32"/>
    <w:rsid w:val="008A1685"/>
    <w:rsid w:val="008D284B"/>
    <w:rsid w:val="008D7FAC"/>
    <w:rsid w:val="0095632A"/>
    <w:rsid w:val="009953AD"/>
    <w:rsid w:val="009B59A4"/>
    <w:rsid w:val="009E5F8D"/>
    <w:rsid w:val="009F4F6F"/>
    <w:rsid w:val="00A06E96"/>
    <w:rsid w:val="00A136F5"/>
    <w:rsid w:val="00A40721"/>
    <w:rsid w:val="00A66601"/>
    <w:rsid w:val="00A74179"/>
    <w:rsid w:val="00A743C1"/>
    <w:rsid w:val="00A87EC1"/>
    <w:rsid w:val="00A96B7A"/>
    <w:rsid w:val="00AD6CEE"/>
    <w:rsid w:val="00AF158F"/>
    <w:rsid w:val="00B01130"/>
    <w:rsid w:val="00B42441"/>
    <w:rsid w:val="00B83C0E"/>
    <w:rsid w:val="00B85080"/>
    <w:rsid w:val="00BA7915"/>
    <w:rsid w:val="00BC34AC"/>
    <w:rsid w:val="00BC4BBD"/>
    <w:rsid w:val="00C00F50"/>
    <w:rsid w:val="00C217B7"/>
    <w:rsid w:val="00C31BE6"/>
    <w:rsid w:val="00C42369"/>
    <w:rsid w:val="00C63DA1"/>
    <w:rsid w:val="00C645EE"/>
    <w:rsid w:val="00C66FDA"/>
    <w:rsid w:val="00C95929"/>
    <w:rsid w:val="00CB7DC4"/>
    <w:rsid w:val="00CD3C03"/>
    <w:rsid w:val="00CE49F7"/>
    <w:rsid w:val="00CE6013"/>
    <w:rsid w:val="00CF1D3F"/>
    <w:rsid w:val="00CF525C"/>
    <w:rsid w:val="00D04638"/>
    <w:rsid w:val="00D235D2"/>
    <w:rsid w:val="00D30948"/>
    <w:rsid w:val="00D3142D"/>
    <w:rsid w:val="00D6646A"/>
    <w:rsid w:val="00D71822"/>
    <w:rsid w:val="00DA6DCC"/>
    <w:rsid w:val="00DC5694"/>
    <w:rsid w:val="00E04D43"/>
    <w:rsid w:val="00E13C1C"/>
    <w:rsid w:val="00E155D5"/>
    <w:rsid w:val="00E30810"/>
    <w:rsid w:val="00E31E64"/>
    <w:rsid w:val="00E45934"/>
    <w:rsid w:val="00E538F5"/>
    <w:rsid w:val="00E6272A"/>
    <w:rsid w:val="00E74F9B"/>
    <w:rsid w:val="00E80EE0"/>
    <w:rsid w:val="00E8454D"/>
    <w:rsid w:val="00EB0D3A"/>
    <w:rsid w:val="00EF0A50"/>
    <w:rsid w:val="00F12863"/>
    <w:rsid w:val="00F51B1E"/>
    <w:rsid w:val="00F7246A"/>
    <w:rsid w:val="00F76CA2"/>
    <w:rsid w:val="00F8609D"/>
    <w:rsid w:val="00F87B3D"/>
    <w:rsid w:val="00F93F11"/>
    <w:rsid w:val="00FC1780"/>
    <w:rsid w:val="00FE48F1"/>
    <w:rsid w:val="016E08F7"/>
    <w:rsid w:val="02E845D2"/>
    <w:rsid w:val="03304C5B"/>
    <w:rsid w:val="041E2451"/>
    <w:rsid w:val="05EC5B44"/>
    <w:rsid w:val="07125927"/>
    <w:rsid w:val="073F54F1"/>
    <w:rsid w:val="084F3519"/>
    <w:rsid w:val="095E5DEE"/>
    <w:rsid w:val="0A7D5943"/>
    <w:rsid w:val="0AC27694"/>
    <w:rsid w:val="0CBD7BB4"/>
    <w:rsid w:val="0CCF2522"/>
    <w:rsid w:val="0CFC11DA"/>
    <w:rsid w:val="0D5A2878"/>
    <w:rsid w:val="0FC765AA"/>
    <w:rsid w:val="115049F7"/>
    <w:rsid w:val="130472D8"/>
    <w:rsid w:val="13864617"/>
    <w:rsid w:val="14013F61"/>
    <w:rsid w:val="14CC6EAC"/>
    <w:rsid w:val="15772C18"/>
    <w:rsid w:val="17DF51B5"/>
    <w:rsid w:val="19AF0CB4"/>
    <w:rsid w:val="1B8F7EC5"/>
    <w:rsid w:val="1CBA412F"/>
    <w:rsid w:val="1E954432"/>
    <w:rsid w:val="1F2E107E"/>
    <w:rsid w:val="20AF62AE"/>
    <w:rsid w:val="22F03FA2"/>
    <w:rsid w:val="243954FA"/>
    <w:rsid w:val="24606D45"/>
    <w:rsid w:val="25C3057E"/>
    <w:rsid w:val="28512B5C"/>
    <w:rsid w:val="29A74DB5"/>
    <w:rsid w:val="2AD25C46"/>
    <w:rsid w:val="31C439B2"/>
    <w:rsid w:val="324F7826"/>
    <w:rsid w:val="367407E3"/>
    <w:rsid w:val="3AC02107"/>
    <w:rsid w:val="3B460C5B"/>
    <w:rsid w:val="3CB75A2A"/>
    <w:rsid w:val="3DAA24C1"/>
    <w:rsid w:val="3E6212E9"/>
    <w:rsid w:val="41C91711"/>
    <w:rsid w:val="42C1567B"/>
    <w:rsid w:val="45505343"/>
    <w:rsid w:val="486B5216"/>
    <w:rsid w:val="491D46E8"/>
    <w:rsid w:val="497B1954"/>
    <w:rsid w:val="4B567DFB"/>
    <w:rsid w:val="4DB5424D"/>
    <w:rsid w:val="500E32DB"/>
    <w:rsid w:val="513D540F"/>
    <w:rsid w:val="532156FF"/>
    <w:rsid w:val="54074347"/>
    <w:rsid w:val="561D5ED7"/>
    <w:rsid w:val="56910414"/>
    <w:rsid w:val="57B12A6A"/>
    <w:rsid w:val="580442E8"/>
    <w:rsid w:val="58160210"/>
    <w:rsid w:val="64437777"/>
    <w:rsid w:val="64B84547"/>
    <w:rsid w:val="6521617A"/>
    <w:rsid w:val="66B73649"/>
    <w:rsid w:val="6A0346A3"/>
    <w:rsid w:val="6B592FCB"/>
    <w:rsid w:val="6BAD1D93"/>
    <w:rsid w:val="6CB177E0"/>
    <w:rsid w:val="6CDD2B4C"/>
    <w:rsid w:val="6D060FDC"/>
    <w:rsid w:val="6D342338"/>
    <w:rsid w:val="6DC0799D"/>
    <w:rsid w:val="6EFD2C28"/>
    <w:rsid w:val="72CE527A"/>
    <w:rsid w:val="74450ED1"/>
    <w:rsid w:val="75BF1C00"/>
    <w:rsid w:val="780F7457"/>
    <w:rsid w:val="7B1664F4"/>
    <w:rsid w:val="7B5E30A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99" w:name="Normal Indent"/>
    <w:lsdException w:qFormat="1" w:unhideWhenUsed="0" w:uiPriority="0" w:semiHidden="0" w:name="footnote text"/>
    <w:lsdException w:qFormat="1" w:uiPriority="99" w:name="annotation text"/>
    <w:lsdException w:qFormat="1" w:unhideWhenUsed="0" w:uiPriority="0"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qFormat="1" w:unhideWhenUsed="0" w:uiPriority="0" w:name="endnote reference"/>
    <w:lsdException w:qFormat="1" w:unhideWhenUsed="0" w:uiPriority="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qFormat="1" w:unhideWhenUsed="0" w:uiPriority="0"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54"/>
    <w:qFormat/>
    <w:uiPriority w:val="9"/>
    <w:pPr>
      <w:keepNext/>
      <w:keepLines/>
      <w:adjustRightInd w:val="0"/>
      <w:snapToGrid w:val="0"/>
      <w:outlineLvl w:val="0"/>
    </w:pPr>
    <w:rPr>
      <w:rFonts w:ascii="黑体" w:hAnsi="黑体" w:eastAsia="黑体"/>
      <w:bCs/>
      <w:kern w:val="44"/>
      <w:szCs w:val="44"/>
    </w:rPr>
  </w:style>
  <w:style w:type="character" w:default="1" w:styleId="34">
    <w:name w:val="Default Paragraph Font"/>
    <w:semiHidden/>
    <w:unhideWhenUsed/>
    <w:uiPriority w:val="1"/>
  </w:style>
  <w:style w:type="table" w:default="1" w:styleId="32">
    <w:name w:val="Normal Table"/>
    <w:semiHidden/>
    <w:unhideWhenUsed/>
    <w:uiPriority w:val="99"/>
    <w:tblPr>
      <w:tblCellMar>
        <w:top w:w="0" w:type="dxa"/>
        <w:left w:w="108" w:type="dxa"/>
        <w:bottom w:w="0" w:type="dxa"/>
        <w:right w:w="108" w:type="dxa"/>
      </w:tblCellMar>
    </w:tblPr>
  </w:style>
  <w:style w:type="paragraph" w:styleId="3">
    <w:name w:val="toc 7"/>
    <w:basedOn w:val="1"/>
    <w:next w:val="1"/>
    <w:semiHidden/>
    <w:qFormat/>
    <w:uiPriority w:val="0"/>
    <w:pPr>
      <w:tabs>
        <w:tab w:val="right" w:leader="dot" w:pos="9241"/>
      </w:tabs>
      <w:ind w:firstLine="505" w:firstLineChars="500"/>
      <w:jc w:val="left"/>
    </w:pPr>
    <w:rPr>
      <w:rFonts w:ascii="宋体"/>
      <w:szCs w:val="21"/>
    </w:rPr>
  </w:style>
  <w:style w:type="paragraph" w:styleId="4">
    <w:name w:val="index 8"/>
    <w:basedOn w:val="1"/>
    <w:next w:val="1"/>
    <w:qFormat/>
    <w:uiPriority w:val="0"/>
    <w:pPr>
      <w:ind w:left="1680" w:hanging="210"/>
      <w:jc w:val="left"/>
    </w:pPr>
    <w:rPr>
      <w:rFonts w:ascii="Calibri" w:hAnsi="Calibri"/>
      <w:sz w:val="20"/>
      <w:szCs w:val="20"/>
    </w:rPr>
  </w:style>
  <w:style w:type="paragraph" w:styleId="5">
    <w:name w:val="caption"/>
    <w:basedOn w:val="1"/>
    <w:next w:val="1"/>
    <w:qFormat/>
    <w:uiPriority w:val="0"/>
    <w:pPr>
      <w:spacing w:before="152" w:after="160"/>
    </w:pPr>
    <w:rPr>
      <w:rFonts w:ascii="Arial" w:hAnsi="Arial" w:eastAsia="黑体" w:cs="Arial"/>
      <w:sz w:val="20"/>
      <w:szCs w:val="20"/>
    </w:rPr>
  </w:style>
  <w:style w:type="paragraph" w:styleId="6">
    <w:name w:val="index 5"/>
    <w:basedOn w:val="1"/>
    <w:next w:val="1"/>
    <w:qFormat/>
    <w:uiPriority w:val="0"/>
    <w:pPr>
      <w:ind w:left="1050" w:hanging="210"/>
      <w:jc w:val="left"/>
    </w:pPr>
    <w:rPr>
      <w:rFonts w:ascii="Calibri" w:hAnsi="Calibri"/>
      <w:sz w:val="20"/>
      <w:szCs w:val="20"/>
    </w:rPr>
  </w:style>
  <w:style w:type="paragraph" w:styleId="7">
    <w:name w:val="Document Map"/>
    <w:basedOn w:val="1"/>
    <w:link w:val="54"/>
    <w:semiHidden/>
    <w:qFormat/>
    <w:uiPriority w:val="0"/>
    <w:pPr>
      <w:shd w:val="clear" w:color="auto" w:fill="000080"/>
    </w:pPr>
  </w:style>
  <w:style w:type="paragraph" w:styleId="8">
    <w:name w:val="annotation text"/>
    <w:basedOn w:val="1"/>
    <w:link w:val="151"/>
    <w:semiHidden/>
    <w:unhideWhenUsed/>
    <w:qFormat/>
    <w:uiPriority w:val="99"/>
    <w:pPr>
      <w:jc w:val="left"/>
    </w:pPr>
  </w:style>
  <w:style w:type="paragraph" w:styleId="9">
    <w:name w:val="index 6"/>
    <w:basedOn w:val="1"/>
    <w:next w:val="1"/>
    <w:qFormat/>
    <w:uiPriority w:val="0"/>
    <w:pPr>
      <w:ind w:left="1260" w:hanging="210"/>
      <w:jc w:val="left"/>
    </w:pPr>
    <w:rPr>
      <w:rFonts w:ascii="Calibri" w:hAnsi="Calibri"/>
      <w:sz w:val="20"/>
      <w:szCs w:val="20"/>
    </w:rPr>
  </w:style>
  <w:style w:type="paragraph" w:styleId="10">
    <w:name w:val="index 4"/>
    <w:basedOn w:val="1"/>
    <w:next w:val="1"/>
    <w:qFormat/>
    <w:uiPriority w:val="0"/>
    <w:pPr>
      <w:ind w:left="840" w:hanging="210"/>
      <w:jc w:val="left"/>
    </w:pPr>
    <w:rPr>
      <w:rFonts w:ascii="Calibri" w:hAnsi="Calibri"/>
      <w:sz w:val="20"/>
      <w:szCs w:val="20"/>
    </w:rPr>
  </w:style>
  <w:style w:type="paragraph" w:styleId="11">
    <w:name w:val="toc 5"/>
    <w:basedOn w:val="1"/>
    <w:next w:val="1"/>
    <w:semiHidden/>
    <w:qFormat/>
    <w:uiPriority w:val="0"/>
    <w:pPr>
      <w:tabs>
        <w:tab w:val="right" w:leader="dot" w:pos="9241"/>
      </w:tabs>
      <w:ind w:firstLine="300" w:firstLineChars="300"/>
      <w:jc w:val="left"/>
    </w:pPr>
    <w:rPr>
      <w:rFonts w:ascii="宋体"/>
      <w:szCs w:val="21"/>
    </w:rPr>
  </w:style>
  <w:style w:type="paragraph" w:styleId="12">
    <w:name w:val="toc 3"/>
    <w:basedOn w:val="1"/>
    <w:next w:val="1"/>
    <w:semiHidden/>
    <w:qFormat/>
    <w:uiPriority w:val="0"/>
    <w:pPr>
      <w:tabs>
        <w:tab w:val="right" w:leader="dot" w:pos="9241"/>
      </w:tabs>
      <w:ind w:firstLine="102" w:firstLineChars="100"/>
      <w:jc w:val="left"/>
    </w:pPr>
    <w:rPr>
      <w:rFonts w:ascii="宋体"/>
      <w:szCs w:val="21"/>
    </w:rPr>
  </w:style>
  <w:style w:type="paragraph" w:styleId="13">
    <w:name w:val="toc 8"/>
    <w:basedOn w:val="1"/>
    <w:next w:val="1"/>
    <w:semiHidden/>
    <w:qFormat/>
    <w:uiPriority w:val="0"/>
    <w:pPr>
      <w:tabs>
        <w:tab w:val="right" w:leader="dot" w:pos="9241"/>
      </w:tabs>
      <w:ind w:firstLine="607" w:firstLineChars="600"/>
      <w:jc w:val="left"/>
    </w:pPr>
    <w:rPr>
      <w:rFonts w:ascii="宋体"/>
      <w:szCs w:val="21"/>
    </w:rPr>
  </w:style>
  <w:style w:type="paragraph" w:styleId="14">
    <w:name w:val="index 3"/>
    <w:basedOn w:val="1"/>
    <w:next w:val="1"/>
    <w:qFormat/>
    <w:uiPriority w:val="0"/>
    <w:pPr>
      <w:ind w:left="630" w:hanging="210"/>
      <w:jc w:val="left"/>
    </w:pPr>
    <w:rPr>
      <w:rFonts w:ascii="Calibri" w:hAnsi="Calibri"/>
      <w:sz w:val="20"/>
      <w:szCs w:val="20"/>
    </w:rPr>
  </w:style>
  <w:style w:type="paragraph" w:styleId="15">
    <w:name w:val="endnote text"/>
    <w:basedOn w:val="1"/>
    <w:link w:val="69"/>
    <w:semiHidden/>
    <w:qFormat/>
    <w:uiPriority w:val="0"/>
    <w:pPr>
      <w:snapToGrid w:val="0"/>
      <w:jc w:val="left"/>
    </w:pPr>
  </w:style>
  <w:style w:type="paragraph" w:styleId="16">
    <w:name w:val="Balloon Text"/>
    <w:basedOn w:val="1"/>
    <w:link w:val="147"/>
    <w:semiHidden/>
    <w:unhideWhenUsed/>
    <w:qFormat/>
    <w:uiPriority w:val="99"/>
    <w:rPr>
      <w:sz w:val="18"/>
      <w:szCs w:val="18"/>
    </w:rPr>
  </w:style>
  <w:style w:type="paragraph" w:styleId="17">
    <w:name w:val="footer"/>
    <w:basedOn w:val="1"/>
    <w:link w:val="64"/>
    <w:qFormat/>
    <w:uiPriority w:val="99"/>
    <w:pPr>
      <w:snapToGrid w:val="0"/>
      <w:ind w:right="210" w:rightChars="100"/>
      <w:jc w:val="right"/>
    </w:pPr>
    <w:rPr>
      <w:sz w:val="18"/>
      <w:szCs w:val="18"/>
    </w:rPr>
  </w:style>
  <w:style w:type="paragraph" w:styleId="18">
    <w:name w:val="header"/>
    <w:basedOn w:val="1"/>
    <w:link w:val="59"/>
    <w:qFormat/>
    <w:uiPriority w:val="0"/>
    <w:pPr>
      <w:snapToGrid w:val="0"/>
      <w:jc w:val="left"/>
    </w:pPr>
    <w:rPr>
      <w:sz w:val="18"/>
      <w:szCs w:val="18"/>
    </w:rPr>
  </w:style>
  <w:style w:type="paragraph" w:styleId="19">
    <w:name w:val="toc 1"/>
    <w:basedOn w:val="1"/>
    <w:next w:val="1"/>
    <w:semiHidden/>
    <w:qFormat/>
    <w:uiPriority w:val="0"/>
    <w:pPr>
      <w:tabs>
        <w:tab w:val="right" w:leader="dot" w:pos="9241"/>
      </w:tabs>
      <w:spacing w:beforeLines="25" w:afterLines="25"/>
      <w:jc w:val="left"/>
    </w:pPr>
    <w:rPr>
      <w:rFonts w:ascii="宋体"/>
      <w:szCs w:val="21"/>
    </w:rPr>
  </w:style>
  <w:style w:type="paragraph" w:styleId="20">
    <w:name w:val="toc 4"/>
    <w:basedOn w:val="1"/>
    <w:next w:val="1"/>
    <w:semiHidden/>
    <w:qFormat/>
    <w:uiPriority w:val="0"/>
    <w:pPr>
      <w:tabs>
        <w:tab w:val="right" w:leader="dot" w:pos="9241"/>
      </w:tabs>
      <w:ind w:firstLine="198" w:firstLineChars="200"/>
      <w:jc w:val="left"/>
    </w:pPr>
    <w:rPr>
      <w:rFonts w:ascii="宋体"/>
      <w:szCs w:val="21"/>
    </w:rPr>
  </w:style>
  <w:style w:type="paragraph" w:styleId="21">
    <w:name w:val="index heading"/>
    <w:basedOn w:val="1"/>
    <w:next w:val="22"/>
    <w:qFormat/>
    <w:uiPriority w:val="0"/>
    <w:pPr>
      <w:spacing w:before="120" w:after="120"/>
      <w:jc w:val="center"/>
    </w:pPr>
    <w:rPr>
      <w:rFonts w:ascii="Calibri" w:hAnsi="Calibri"/>
      <w:b/>
      <w:bCs/>
      <w:iCs/>
      <w:szCs w:val="20"/>
    </w:rPr>
  </w:style>
  <w:style w:type="paragraph" w:styleId="22">
    <w:name w:val="index 1"/>
    <w:basedOn w:val="1"/>
    <w:next w:val="1"/>
    <w:unhideWhenUsed/>
    <w:qFormat/>
    <w:uiPriority w:val="0"/>
  </w:style>
  <w:style w:type="paragraph" w:styleId="23">
    <w:name w:val="footnote text"/>
    <w:basedOn w:val="1"/>
    <w:link w:val="72"/>
    <w:qFormat/>
    <w:uiPriority w:val="0"/>
    <w:pPr>
      <w:numPr>
        <w:ilvl w:val="0"/>
        <w:numId w:val="1"/>
      </w:numPr>
      <w:snapToGrid w:val="0"/>
      <w:jc w:val="left"/>
    </w:pPr>
    <w:rPr>
      <w:rFonts w:ascii="宋体"/>
      <w:sz w:val="18"/>
      <w:szCs w:val="18"/>
    </w:rPr>
  </w:style>
  <w:style w:type="paragraph" w:styleId="24">
    <w:name w:val="toc 6"/>
    <w:basedOn w:val="1"/>
    <w:next w:val="1"/>
    <w:semiHidden/>
    <w:qFormat/>
    <w:uiPriority w:val="0"/>
    <w:pPr>
      <w:tabs>
        <w:tab w:val="right" w:leader="dot" w:pos="9241"/>
      </w:tabs>
      <w:ind w:firstLine="403" w:firstLineChars="400"/>
      <w:jc w:val="left"/>
    </w:pPr>
    <w:rPr>
      <w:rFonts w:ascii="宋体"/>
      <w:szCs w:val="21"/>
    </w:rPr>
  </w:style>
  <w:style w:type="paragraph" w:styleId="25">
    <w:name w:val="index 7"/>
    <w:basedOn w:val="1"/>
    <w:next w:val="1"/>
    <w:qFormat/>
    <w:uiPriority w:val="0"/>
    <w:pPr>
      <w:ind w:left="1470" w:hanging="210"/>
      <w:jc w:val="left"/>
    </w:pPr>
    <w:rPr>
      <w:rFonts w:ascii="Calibri" w:hAnsi="Calibri"/>
      <w:sz w:val="20"/>
      <w:szCs w:val="20"/>
    </w:rPr>
  </w:style>
  <w:style w:type="paragraph" w:styleId="26">
    <w:name w:val="index 9"/>
    <w:basedOn w:val="1"/>
    <w:next w:val="1"/>
    <w:qFormat/>
    <w:uiPriority w:val="0"/>
    <w:pPr>
      <w:ind w:left="1890" w:hanging="210"/>
      <w:jc w:val="left"/>
    </w:pPr>
    <w:rPr>
      <w:rFonts w:ascii="Calibri" w:hAnsi="Calibri"/>
      <w:sz w:val="20"/>
      <w:szCs w:val="20"/>
    </w:rPr>
  </w:style>
  <w:style w:type="paragraph" w:styleId="27">
    <w:name w:val="toc 2"/>
    <w:basedOn w:val="1"/>
    <w:next w:val="1"/>
    <w:semiHidden/>
    <w:qFormat/>
    <w:uiPriority w:val="0"/>
    <w:pPr>
      <w:tabs>
        <w:tab w:val="right" w:leader="dot" w:pos="9241"/>
      </w:tabs>
    </w:pPr>
    <w:rPr>
      <w:rFonts w:ascii="宋体"/>
      <w:szCs w:val="21"/>
    </w:rPr>
  </w:style>
  <w:style w:type="paragraph" w:styleId="28">
    <w:name w:val="toc 9"/>
    <w:basedOn w:val="1"/>
    <w:next w:val="1"/>
    <w:semiHidden/>
    <w:qFormat/>
    <w:uiPriority w:val="0"/>
    <w:pPr>
      <w:ind w:left="1470"/>
      <w:jc w:val="left"/>
    </w:pPr>
    <w:rPr>
      <w:sz w:val="20"/>
      <w:szCs w:val="20"/>
    </w:rPr>
  </w:style>
  <w:style w:type="paragraph" w:styleId="29">
    <w:name w:val="Normal (Web)"/>
    <w:basedOn w:val="1"/>
    <w:semiHidden/>
    <w:unhideWhenUsed/>
    <w:qFormat/>
    <w:uiPriority w:val="99"/>
    <w:rPr>
      <w:sz w:val="24"/>
    </w:rPr>
  </w:style>
  <w:style w:type="paragraph" w:styleId="30">
    <w:name w:val="index 2"/>
    <w:basedOn w:val="1"/>
    <w:next w:val="1"/>
    <w:qFormat/>
    <w:uiPriority w:val="0"/>
    <w:pPr>
      <w:ind w:left="420" w:hanging="210"/>
      <w:jc w:val="left"/>
    </w:pPr>
    <w:rPr>
      <w:rFonts w:ascii="Calibri" w:hAnsi="Calibri"/>
      <w:sz w:val="20"/>
      <w:szCs w:val="20"/>
    </w:rPr>
  </w:style>
  <w:style w:type="paragraph" w:styleId="31">
    <w:name w:val="annotation subject"/>
    <w:basedOn w:val="8"/>
    <w:next w:val="8"/>
    <w:link w:val="152"/>
    <w:semiHidden/>
    <w:unhideWhenUsed/>
    <w:qFormat/>
    <w:uiPriority w:val="99"/>
    <w:rPr>
      <w:b/>
      <w:bCs/>
    </w:rPr>
  </w:style>
  <w:style w:type="table" w:styleId="33">
    <w:name w:val="Table Grid"/>
    <w:basedOn w:val="32"/>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35">
    <w:name w:val="Strong"/>
    <w:basedOn w:val="34"/>
    <w:qFormat/>
    <w:uiPriority w:val="22"/>
    <w:rPr>
      <w:b/>
    </w:rPr>
  </w:style>
  <w:style w:type="character" w:styleId="36">
    <w:name w:val="endnote reference"/>
    <w:semiHidden/>
    <w:qFormat/>
    <w:uiPriority w:val="0"/>
    <w:rPr>
      <w:vertAlign w:val="superscript"/>
    </w:rPr>
  </w:style>
  <w:style w:type="character" w:styleId="37">
    <w:name w:val="page number"/>
    <w:qFormat/>
    <w:uiPriority w:val="0"/>
    <w:rPr>
      <w:rFonts w:ascii="Times New Roman" w:hAnsi="Times New Roman" w:eastAsia="宋体"/>
      <w:sz w:val="18"/>
    </w:rPr>
  </w:style>
  <w:style w:type="character" w:styleId="38">
    <w:name w:val="FollowedHyperlink"/>
    <w:basedOn w:val="34"/>
    <w:semiHidden/>
    <w:unhideWhenUsed/>
    <w:qFormat/>
    <w:uiPriority w:val="99"/>
    <w:rPr>
      <w:color w:val="800080" w:themeColor="followedHyperlink"/>
      <w:u w:val="single"/>
      <w14:textFill>
        <w14:solidFill>
          <w14:schemeClr w14:val="folHlink"/>
        </w14:solidFill>
      </w14:textFill>
    </w:rPr>
  </w:style>
  <w:style w:type="character" w:styleId="39">
    <w:name w:val="Emphasis"/>
    <w:basedOn w:val="34"/>
    <w:qFormat/>
    <w:uiPriority w:val="20"/>
    <w:rPr>
      <w:i/>
    </w:rPr>
  </w:style>
  <w:style w:type="character" w:styleId="40">
    <w:name w:val="Hyperlink"/>
    <w:qFormat/>
    <w:uiPriority w:val="0"/>
    <w:rPr>
      <w:color w:val="0000FF"/>
      <w:spacing w:val="0"/>
      <w:w w:val="100"/>
      <w:szCs w:val="21"/>
      <w:u w:val="single"/>
      <w:lang w:val="en-US" w:eastAsia="zh-CN"/>
    </w:rPr>
  </w:style>
  <w:style w:type="character" w:styleId="41">
    <w:name w:val="annotation reference"/>
    <w:basedOn w:val="34"/>
    <w:semiHidden/>
    <w:unhideWhenUsed/>
    <w:qFormat/>
    <w:uiPriority w:val="99"/>
    <w:rPr>
      <w:sz w:val="21"/>
      <w:szCs w:val="21"/>
    </w:rPr>
  </w:style>
  <w:style w:type="character" w:styleId="42">
    <w:name w:val="footnote reference"/>
    <w:semiHidden/>
    <w:qFormat/>
    <w:uiPriority w:val="0"/>
    <w:rPr>
      <w:vertAlign w:val="superscript"/>
    </w:rPr>
  </w:style>
  <w:style w:type="character" w:customStyle="1" w:styleId="43">
    <w:name w:val="首示例 Char"/>
    <w:link w:val="44"/>
    <w:qFormat/>
    <w:uiPriority w:val="0"/>
    <w:rPr>
      <w:rFonts w:ascii="宋体" w:hAnsi="宋体"/>
      <w:sz w:val="18"/>
      <w:szCs w:val="18"/>
    </w:rPr>
  </w:style>
  <w:style w:type="paragraph" w:customStyle="1" w:styleId="44">
    <w:name w:val="首示例"/>
    <w:next w:val="45"/>
    <w:link w:val="43"/>
    <w:qFormat/>
    <w:uiPriority w:val="0"/>
    <w:pPr>
      <w:numPr>
        <w:ilvl w:val="0"/>
        <w:numId w:val="2"/>
      </w:numPr>
      <w:tabs>
        <w:tab w:val="left" w:pos="360"/>
      </w:tabs>
      <w:ind w:firstLine="0"/>
    </w:pPr>
    <w:rPr>
      <w:rFonts w:ascii="宋体" w:hAnsi="宋体" w:eastAsiaTheme="minorEastAsia" w:cstheme="minorBidi"/>
      <w:kern w:val="2"/>
      <w:sz w:val="18"/>
      <w:szCs w:val="18"/>
      <w:lang w:val="en-US" w:eastAsia="zh-CN" w:bidi="ar-SA"/>
    </w:rPr>
  </w:style>
  <w:style w:type="paragraph" w:customStyle="1" w:styleId="45">
    <w:name w:val="段"/>
    <w:link w:val="49"/>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kern w:val="2"/>
      <w:sz w:val="21"/>
      <w:szCs w:val="22"/>
      <w:lang w:val="en-US" w:eastAsia="zh-CN" w:bidi="ar-SA"/>
    </w:rPr>
  </w:style>
  <w:style w:type="paragraph" w:customStyle="1" w:styleId="46">
    <w:name w:val="_Style 4"/>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47">
    <w:name w:val="发布"/>
    <w:qFormat/>
    <w:uiPriority w:val="0"/>
    <w:rPr>
      <w:rFonts w:ascii="黑体" w:eastAsia="黑体"/>
      <w:spacing w:val="85"/>
      <w:w w:val="100"/>
      <w:position w:val="3"/>
      <w:sz w:val="28"/>
      <w:szCs w:val="28"/>
    </w:rPr>
  </w:style>
  <w:style w:type="character" w:customStyle="1" w:styleId="48">
    <w:name w:val="附录公式 Char"/>
    <w:basedOn w:val="49"/>
    <w:link w:val="50"/>
    <w:qFormat/>
    <w:uiPriority w:val="0"/>
    <w:rPr>
      <w:rFonts w:ascii="宋体"/>
    </w:rPr>
  </w:style>
  <w:style w:type="character" w:customStyle="1" w:styleId="49">
    <w:name w:val="段 Char"/>
    <w:link w:val="45"/>
    <w:qFormat/>
    <w:uiPriority w:val="0"/>
    <w:rPr>
      <w:rFonts w:ascii="宋体"/>
    </w:rPr>
  </w:style>
  <w:style w:type="paragraph" w:customStyle="1" w:styleId="50">
    <w:name w:val="附录公式"/>
    <w:basedOn w:val="45"/>
    <w:next w:val="45"/>
    <w:link w:val="48"/>
    <w:qFormat/>
    <w:uiPriority w:val="0"/>
  </w:style>
  <w:style w:type="paragraph" w:customStyle="1" w:styleId="51">
    <w:name w:val="图标脚注说明"/>
    <w:basedOn w:val="45"/>
    <w:qFormat/>
    <w:uiPriority w:val="0"/>
    <w:pPr>
      <w:ind w:left="840" w:hanging="420" w:firstLineChars="0"/>
    </w:pPr>
    <w:rPr>
      <w:sz w:val="18"/>
      <w:szCs w:val="18"/>
    </w:rPr>
  </w:style>
  <w:style w:type="paragraph" w:customStyle="1" w:styleId="52">
    <w:name w:val="封面标准名称2"/>
    <w:basedOn w:val="53"/>
    <w:qFormat/>
    <w:uiPriority w:val="0"/>
    <w:pPr>
      <w:framePr w:wrap="around" w:y="4469"/>
      <w:spacing w:beforeLines="630"/>
    </w:pPr>
  </w:style>
  <w:style w:type="paragraph" w:customStyle="1" w:styleId="53">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character" w:customStyle="1" w:styleId="54">
    <w:name w:val="文档结构图 Char"/>
    <w:basedOn w:val="34"/>
    <w:link w:val="7"/>
    <w:semiHidden/>
    <w:qFormat/>
    <w:uiPriority w:val="0"/>
    <w:rPr>
      <w:rFonts w:ascii="Times New Roman" w:hAnsi="Times New Roman" w:eastAsia="宋体" w:cs="Times New Roman"/>
      <w:szCs w:val="24"/>
      <w:shd w:val="clear" w:color="auto" w:fill="000080"/>
    </w:rPr>
  </w:style>
  <w:style w:type="paragraph" w:customStyle="1" w:styleId="55">
    <w:name w:val="附录四级无"/>
    <w:basedOn w:val="56"/>
    <w:qFormat/>
    <w:uiPriority w:val="0"/>
    <w:pPr>
      <w:tabs>
        <w:tab w:val="left" w:pos="360"/>
      </w:tabs>
      <w:spacing w:beforeLines="0" w:afterLines="0"/>
    </w:pPr>
    <w:rPr>
      <w:rFonts w:ascii="宋体" w:eastAsia="宋体"/>
      <w:szCs w:val="21"/>
    </w:rPr>
  </w:style>
  <w:style w:type="paragraph" w:customStyle="1" w:styleId="56">
    <w:name w:val="附录四级条标题"/>
    <w:basedOn w:val="57"/>
    <w:next w:val="45"/>
    <w:qFormat/>
    <w:uiPriority w:val="0"/>
    <w:pPr>
      <w:numPr>
        <w:ilvl w:val="0"/>
        <w:numId w:val="0"/>
      </w:numPr>
      <w:tabs>
        <w:tab w:val="left" w:pos="360"/>
      </w:tabs>
      <w:outlineLvl w:val="5"/>
    </w:pPr>
  </w:style>
  <w:style w:type="paragraph" w:customStyle="1" w:styleId="57">
    <w:name w:val="附录三级条标题"/>
    <w:basedOn w:val="58"/>
    <w:next w:val="45"/>
    <w:qFormat/>
    <w:uiPriority w:val="0"/>
    <w:pPr>
      <w:numPr>
        <w:ilvl w:val="4"/>
      </w:numPr>
      <w:tabs>
        <w:tab w:val="left" w:pos="360"/>
      </w:tabs>
      <w:outlineLvl w:val="4"/>
    </w:pPr>
  </w:style>
  <w:style w:type="paragraph" w:customStyle="1" w:styleId="58">
    <w:name w:val="附录二级条标题"/>
    <w:basedOn w:val="1"/>
    <w:next w:val="45"/>
    <w:qFormat/>
    <w:uiPriority w:val="0"/>
    <w:pPr>
      <w:widowControl/>
      <w:numPr>
        <w:ilvl w:val="3"/>
        <w:numId w:val="3"/>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character" w:customStyle="1" w:styleId="59">
    <w:name w:val="页眉 Char"/>
    <w:basedOn w:val="34"/>
    <w:link w:val="18"/>
    <w:qFormat/>
    <w:uiPriority w:val="0"/>
    <w:rPr>
      <w:rFonts w:ascii="Times New Roman" w:hAnsi="Times New Roman" w:eastAsia="宋体" w:cs="Times New Roman"/>
      <w:sz w:val="18"/>
      <w:szCs w:val="18"/>
    </w:rPr>
  </w:style>
  <w:style w:type="paragraph" w:customStyle="1" w:styleId="60">
    <w:name w:val="其他实施日期"/>
    <w:basedOn w:val="61"/>
    <w:qFormat/>
    <w:uiPriority w:val="0"/>
    <w:pPr>
      <w:framePr w:wrap="around"/>
    </w:pPr>
  </w:style>
  <w:style w:type="paragraph" w:customStyle="1" w:styleId="61">
    <w:name w:val="实施日期"/>
    <w:basedOn w:val="62"/>
    <w:qFormat/>
    <w:uiPriority w:val="0"/>
    <w:pPr>
      <w:framePr w:wrap="around" w:vAnchor="page" w:hAnchor="text"/>
      <w:jc w:val="right"/>
    </w:pPr>
  </w:style>
  <w:style w:type="paragraph" w:customStyle="1" w:styleId="62">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63">
    <w:name w:val="前言、引言标题"/>
    <w:next w:val="45"/>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character" w:customStyle="1" w:styleId="64">
    <w:name w:val="页脚 Char"/>
    <w:basedOn w:val="34"/>
    <w:link w:val="17"/>
    <w:qFormat/>
    <w:uiPriority w:val="99"/>
    <w:rPr>
      <w:rFonts w:ascii="Times New Roman" w:hAnsi="Times New Roman" w:eastAsia="宋体" w:cs="Times New Roman"/>
      <w:sz w:val="18"/>
      <w:szCs w:val="18"/>
    </w:rPr>
  </w:style>
  <w:style w:type="paragraph" w:customStyle="1" w:styleId="65">
    <w:name w:val="图表脚注说明"/>
    <w:basedOn w:val="1"/>
    <w:qFormat/>
    <w:uiPriority w:val="0"/>
    <w:pPr>
      <w:numPr>
        <w:ilvl w:val="0"/>
        <w:numId w:val="4"/>
      </w:numPr>
    </w:pPr>
    <w:rPr>
      <w:rFonts w:ascii="宋体"/>
      <w:sz w:val="18"/>
      <w:szCs w:val="18"/>
    </w:rPr>
  </w:style>
  <w:style w:type="paragraph" w:customStyle="1" w:styleId="66">
    <w:name w:val="封面标准文稿类别"/>
    <w:basedOn w:val="67"/>
    <w:qFormat/>
    <w:uiPriority w:val="0"/>
    <w:pPr>
      <w:framePr w:wrap="around"/>
      <w:spacing w:after="160" w:line="240" w:lineRule="auto"/>
    </w:pPr>
    <w:rPr>
      <w:sz w:val="24"/>
    </w:rPr>
  </w:style>
  <w:style w:type="paragraph" w:customStyle="1" w:styleId="67">
    <w:name w:val="封面一致性程度标识"/>
    <w:basedOn w:val="68"/>
    <w:qFormat/>
    <w:uiPriority w:val="0"/>
    <w:pPr>
      <w:framePr w:wrap="around"/>
      <w:spacing w:before="440"/>
    </w:pPr>
    <w:rPr>
      <w:rFonts w:ascii="宋体" w:eastAsia="宋体"/>
    </w:rPr>
  </w:style>
  <w:style w:type="paragraph" w:customStyle="1" w:styleId="68">
    <w:name w:val="封面标准英文名称"/>
    <w:basedOn w:val="53"/>
    <w:qFormat/>
    <w:uiPriority w:val="0"/>
    <w:pPr>
      <w:framePr w:wrap="around"/>
      <w:spacing w:before="370" w:line="400" w:lineRule="exact"/>
    </w:pPr>
    <w:rPr>
      <w:rFonts w:ascii="Times New Roman"/>
      <w:sz w:val="28"/>
      <w:szCs w:val="28"/>
    </w:rPr>
  </w:style>
  <w:style w:type="character" w:customStyle="1" w:styleId="69">
    <w:name w:val="尾注文本 Char"/>
    <w:basedOn w:val="34"/>
    <w:link w:val="15"/>
    <w:semiHidden/>
    <w:qFormat/>
    <w:uiPriority w:val="0"/>
    <w:rPr>
      <w:rFonts w:ascii="Times New Roman" w:hAnsi="Times New Roman" w:eastAsia="宋体" w:cs="Times New Roman"/>
      <w:szCs w:val="24"/>
    </w:rPr>
  </w:style>
  <w:style w:type="paragraph" w:customStyle="1" w:styleId="70">
    <w:name w:val="附录数字编号列项（二级）"/>
    <w:qFormat/>
    <w:uiPriority w:val="0"/>
    <w:pPr>
      <w:numPr>
        <w:ilvl w:val="1"/>
        <w:numId w:val="5"/>
      </w:numPr>
    </w:pPr>
    <w:rPr>
      <w:rFonts w:ascii="宋体" w:hAnsi="Times New Roman" w:eastAsia="宋体" w:cs="Times New Roman"/>
      <w:sz w:val="21"/>
      <w:lang w:val="en-US" w:eastAsia="zh-CN" w:bidi="ar-SA"/>
    </w:rPr>
  </w:style>
  <w:style w:type="paragraph" w:customStyle="1" w:styleId="71">
    <w:name w:val="封面标准英文名称2"/>
    <w:basedOn w:val="68"/>
    <w:qFormat/>
    <w:uiPriority w:val="0"/>
    <w:pPr>
      <w:framePr w:wrap="around" w:y="4469"/>
    </w:pPr>
  </w:style>
  <w:style w:type="character" w:customStyle="1" w:styleId="72">
    <w:name w:val="脚注文本 Char"/>
    <w:basedOn w:val="34"/>
    <w:link w:val="23"/>
    <w:qFormat/>
    <w:uiPriority w:val="0"/>
    <w:rPr>
      <w:rFonts w:ascii="宋体" w:hAnsi="Times New Roman" w:eastAsia="宋体" w:cs="Times New Roman"/>
      <w:sz w:val="18"/>
      <w:szCs w:val="18"/>
    </w:rPr>
  </w:style>
  <w:style w:type="paragraph" w:customStyle="1" w:styleId="73">
    <w:name w:val="五级条标题"/>
    <w:basedOn w:val="74"/>
    <w:next w:val="45"/>
    <w:qFormat/>
    <w:uiPriority w:val="0"/>
    <w:pPr>
      <w:numPr>
        <w:ilvl w:val="5"/>
      </w:numPr>
      <w:outlineLvl w:val="6"/>
    </w:pPr>
  </w:style>
  <w:style w:type="paragraph" w:customStyle="1" w:styleId="74">
    <w:name w:val="四级条标题"/>
    <w:basedOn w:val="75"/>
    <w:next w:val="45"/>
    <w:qFormat/>
    <w:uiPriority w:val="0"/>
    <w:pPr>
      <w:numPr>
        <w:ilvl w:val="4"/>
      </w:numPr>
      <w:outlineLvl w:val="5"/>
    </w:pPr>
  </w:style>
  <w:style w:type="paragraph" w:customStyle="1" w:styleId="75">
    <w:name w:val="三级条标题"/>
    <w:basedOn w:val="76"/>
    <w:next w:val="45"/>
    <w:qFormat/>
    <w:uiPriority w:val="0"/>
    <w:pPr>
      <w:numPr>
        <w:ilvl w:val="3"/>
      </w:numPr>
      <w:ind w:left="0"/>
      <w:outlineLvl w:val="4"/>
    </w:pPr>
  </w:style>
  <w:style w:type="paragraph" w:customStyle="1" w:styleId="76">
    <w:name w:val="二级条标题"/>
    <w:basedOn w:val="77"/>
    <w:next w:val="45"/>
    <w:qFormat/>
    <w:uiPriority w:val="0"/>
    <w:pPr>
      <w:numPr>
        <w:ilvl w:val="2"/>
      </w:numPr>
      <w:spacing w:before="50" w:after="50"/>
      <w:outlineLvl w:val="3"/>
    </w:pPr>
  </w:style>
  <w:style w:type="paragraph" w:customStyle="1" w:styleId="77">
    <w:name w:val="一级条标题"/>
    <w:next w:val="45"/>
    <w:qFormat/>
    <w:uiPriority w:val="0"/>
    <w:pPr>
      <w:numPr>
        <w:ilvl w:val="1"/>
        <w:numId w:val="6"/>
      </w:numPr>
      <w:spacing w:beforeLines="50" w:afterLines="50"/>
      <w:ind w:left="709"/>
      <w:outlineLvl w:val="2"/>
    </w:pPr>
    <w:rPr>
      <w:rFonts w:ascii="黑体" w:hAnsi="Times New Roman" w:eastAsia="黑体" w:cs="Times New Roman"/>
      <w:sz w:val="21"/>
      <w:szCs w:val="21"/>
      <w:lang w:val="en-US" w:eastAsia="zh-CN" w:bidi="ar-SA"/>
    </w:rPr>
  </w:style>
  <w:style w:type="paragraph" w:customStyle="1" w:styleId="78">
    <w:name w:val="注："/>
    <w:next w:val="45"/>
    <w:qFormat/>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79">
    <w:name w:val="正文公式编号制表符"/>
    <w:basedOn w:val="45"/>
    <w:next w:val="45"/>
    <w:qFormat/>
    <w:uiPriority w:val="0"/>
    <w:pPr>
      <w:ind w:firstLine="0" w:firstLineChars="0"/>
    </w:pPr>
  </w:style>
  <w:style w:type="paragraph" w:customStyle="1" w:styleId="80">
    <w:name w:val="条文脚注"/>
    <w:basedOn w:val="23"/>
    <w:qFormat/>
    <w:uiPriority w:val="0"/>
    <w:pPr>
      <w:numPr>
        <w:numId w:val="0"/>
      </w:numPr>
      <w:jc w:val="both"/>
    </w:pPr>
  </w:style>
  <w:style w:type="paragraph" w:customStyle="1" w:styleId="81">
    <w:name w:val="附录章标题"/>
    <w:next w:val="45"/>
    <w:qFormat/>
    <w:uiPriority w:val="0"/>
    <w:pPr>
      <w:numPr>
        <w:ilvl w:val="1"/>
        <w:numId w:val="3"/>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82">
    <w:name w:val="附录一级无"/>
    <w:basedOn w:val="83"/>
    <w:qFormat/>
    <w:uiPriority w:val="0"/>
    <w:pPr>
      <w:tabs>
        <w:tab w:val="left" w:pos="360"/>
      </w:tabs>
      <w:spacing w:beforeLines="0" w:afterLines="0"/>
    </w:pPr>
    <w:rPr>
      <w:rFonts w:ascii="宋体" w:eastAsia="宋体"/>
      <w:szCs w:val="21"/>
    </w:rPr>
  </w:style>
  <w:style w:type="paragraph" w:customStyle="1" w:styleId="83">
    <w:name w:val="附录一级条标题"/>
    <w:basedOn w:val="81"/>
    <w:next w:val="45"/>
    <w:qFormat/>
    <w:uiPriority w:val="0"/>
    <w:pPr>
      <w:numPr>
        <w:ilvl w:val="0"/>
        <w:numId w:val="0"/>
      </w:numPr>
      <w:autoSpaceDN w:val="0"/>
      <w:spacing w:beforeLines="50" w:afterLines="50"/>
      <w:outlineLvl w:val="2"/>
    </w:pPr>
  </w:style>
  <w:style w:type="paragraph" w:customStyle="1" w:styleId="84">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85">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86">
    <w:name w:val="附录图标号"/>
    <w:basedOn w:val="1"/>
    <w:qFormat/>
    <w:uiPriority w:val="0"/>
    <w:pPr>
      <w:keepNext/>
      <w:pageBreakBefore/>
      <w:widowControl/>
      <w:numPr>
        <w:ilvl w:val="0"/>
        <w:numId w:val="8"/>
      </w:numPr>
      <w:spacing w:line="14" w:lineRule="exact"/>
      <w:ind w:left="0" w:firstLine="363"/>
      <w:jc w:val="center"/>
      <w:outlineLvl w:val="0"/>
    </w:pPr>
    <w:rPr>
      <w:color w:val="FFFFFF"/>
    </w:rPr>
  </w:style>
  <w:style w:type="paragraph" w:customStyle="1" w:styleId="87">
    <w:name w:val="字母编号列项（一级）"/>
    <w:qFormat/>
    <w:uiPriority w:val="0"/>
    <w:pPr>
      <w:numPr>
        <w:ilvl w:val="0"/>
        <w:numId w:val="9"/>
      </w:numPr>
      <w:jc w:val="both"/>
    </w:pPr>
    <w:rPr>
      <w:rFonts w:ascii="宋体" w:hAnsi="Times New Roman" w:eastAsia="宋体" w:cs="Times New Roman"/>
      <w:sz w:val="21"/>
      <w:lang w:val="en-US" w:eastAsia="zh-CN" w:bidi="ar-SA"/>
    </w:rPr>
  </w:style>
  <w:style w:type="paragraph" w:customStyle="1" w:styleId="88">
    <w:name w:val="列项●（二级）"/>
    <w:qFormat/>
    <w:uiPriority w:val="0"/>
    <w:pPr>
      <w:numPr>
        <w:ilvl w:val="1"/>
        <w:numId w:val="10"/>
      </w:numPr>
      <w:tabs>
        <w:tab w:val="left" w:pos="840"/>
      </w:tabs>
      <w:jc w:val="both"/>
    </w:pPr>
    <w:rPr>
      <w:rFonts w:ascii="宋体" w:hAnsi="Times New Roman" w:eastAsia="宋体" w:cs="Times New Roman"/>
      <w:sz w:val="21"/>
      <w:lang w:val="en-US" w:eastAsia="zh-CN" w:bidi="ar-SA"/>
    </w:rPr>
  </w:style>
  <w:style w:type="paragraph" w:customStyle="1" w:styleId="89">
    <w:name w:val="示例"/>
    <w:next w:val="85"/>
    <w:qFormat/>
    <w:uiPriority w:val="0"/>
    <w:pPr>
      <w:widowControl w:val="0"/>
      <w:numPr>
        <w:ilvl w:val="0"/>
        <w:numId w:val="11"/>
      </w:numPr>
      <w:jc w:val="both"/>
    </w:pPr>
    <w:rPr>
      <w:rFonts w:ascii="宋体" w:hAnsi="Times New Roman" w:eastAsia="宋体" w:cs="Times New Roman"/>
      <w:sz w:val="18"/>
      <w:szCs w:val="18"/>
      <w:lang w:val="en-US" w:eastAsia="zh-CN" w:bidi="ar-SA"/>
    </w:rPr>
  </w:style>
  <w:style w:type="paragraph" w:customStyle="1" w:styleId="90">
    <w:name w:val="示例×："/>
    <w:basedOn w:val="91"/>
    <w:qFormat/>
    <w:uiPriority w:val="0"/>
    <w:pPr>
      <w:numPr>
        <w:numId w:val="12"/>
      </w:numPr>
      <w:spacing w:beforeLines="0" w:afterLines="0"/>
      <w:outlineLvl w:val="9"/>
    </w:pPr>
    <w:rPr>
      <w:rFonts w:ascii="宋体" w:eastAsia="宋体"/>
      <w:sz w:val="18"/>
      <w:szCs w:val="18"/>
    </w:rPr>
  </w:style>
  <w:style w:type="paragraph" w:customStyle="1" w:styleId="91">
    <w:name w:val="章标题"/>
    <w:next w:val="45"/>
    <w:qFormat/>
    <w:uiPriority w:val="0"/>
    <w:pPr>
      <w:numPr>
        <w:ilvl w:val="0"/>
        <w:numId w:val="6"/>
      </w:numPr>
      <w:spacing w:beforeLines="100" w:afterLines="100"/>
      <w:jc w:val="both"/>
      <w:outlineLvl w:val="1"/>
    </w:pPr>
    <w:rPr>
      <w:rFonts w:ascii="黑体" w:hAnsi="Times New Roman" w:eastAsia="黑体" w:cs="Times New Roman"/>
      <w:sz w:val="21"/>
      <w:lang w:val="en-US" w:eastAsia="zh-CN" w:bidi="ar-SA"/>
    </w:rPr>
  </w:style>
  <w:style w:type="paragraph" w:customStyle="1" w:styleId="92">
    <w:name w:val="正文表标题"/>
    <w:next w:val="45"/>
    <w:qFormat/>
    <w:uiPriority w:val="0"/>
    <w:pPr>
      <w:numPr>
        <w:ilvl w:val="0"/>
        <w:numId w:val="13"/>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93">
    <w:name w:val="封面标准文稿编辑信息"/>
    <w:basedOn w:val="66"/>
    <w:qFormat/>
    <w:uiPriority w:val="0"/>
    <w:pPr>
      <w:framePr w:wrap="around"/>
      <w:spacing w:before="180" w:line="180" w:lineRule="exact"/>
    </w:pPr>
    <w:rPr>
      <w:sz w:val="21"/>
    </w:rPr>
  </w:style>
  <w:style w:type="paragraph" w:customStyle="1" w:styleId="94">
    <w:name w:val="标准书眉一"/>
    <w:qFormat/>
    <w:uiPriority w:val="0"/>
    <w:pPr>
      <w:jc w:val="both"/>
    </w:pPr>
    <w:rPr>
      <w:rFonts w:ascii="Times New Roman" w:hAnsi="Times New Roman" w:eastAsia="宋体" w:cs="Times New Roman"/>
      <w:lang w:val="en-US" w:eastAsia="zh-CN" w:bidi="ar-SA"/>
    </w:rPr>
  </w:style>
  <w:style w:type="paragraph" w:customStyle="1" w:styleId="95">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96">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97">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98">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99">
    <w:name w:val="附录五级无"/>
    <w:basedOn w:val="100"/>
    <w:qFormat/>
    <w:uiPriority w:val="0"/>
    <w:pPr>
      <w:tabs>
        <w:tab w:val="left" w:pos="360"/>
      </w:tabs>
      <w:spacing w:beforeLines="0" w:afterLines="0"/>
    </w:pPr>
    <w:rPr>
      <w:rFonts w:ascii="宋体" w:eastAsia="宋体"/>
      <w:szCs w:val="21"/>
    </w:rPr>
  </w:style>
  <w:style w:type="paragraph" w:customStyle="1" w:styleId="100">
    <w:name w:val="附录五级条标题"/>
    <w:basedOn w:val="56"/>
    <w:next w:val="45"/>
    <w:qFormat/>
    <w:uiPriority w:val="0"/>
    <w:pPr>
      <w:numPr>
        <w:ilvl w:val="6"/>
      </w:numPr>
      <w:outlineLvl w:val="6"/>
    </w:pPr>
  </w:style>
  <w:style w:type="paragraph" w:customStyle="1" w:styleId="101">
    <w:name w:val="正文图标题"/>
    <w:next w:val="45"/>
    <w:qFormat/>
    <w:uiPriority w:val="0"/>
    <w:pPr>
      <w:numPr>
        <w:ilvl w:val="0"/>
        <w:numId w:val="14"/>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02">
    <w:name w:val="附录表标题"/>
    <w:basedOn w:val="1"/>
    <w:next w:val="45"/>
    <w:qFormat/>
    <w:uiPriority w:val="0"/>
    <w:pPr>
      <w:numPr>
        <w:ilvl w:val="1"/>
        <w:numId w:val="15"/>
      </w:numPr>
      <w:tabs>
        <w:tab w:val="left" w:pos="180"/>
      </w:tabs>
      <w:spacing w:beforeLines="50" w:afterLines="50"/>
      <w:ind w:left="0" w:firstLine="0"/>
      <w:jc w:val="center"/>
    </w:pPr>
    <w:rPr>
      <w:rFonts w:ascii="黑体" w:eastAsia="黑体"/>
      <w:szCs w:val="21"/>
    </w:rPr>
  </w:style>
  <w:style w:type="paragraph" w:customStyle="1" w:styleId="103">
    <w:name w:val="编号列项（三级）"/>
    <w:qFormat/>
    <w:uiPriority w:val="0"/>
    <w:pPr>
      <w:numPr>
        <w:ilvl w:val="2"/>
        <w:numId w:val="9"/>
      </w:numPr>
    </w:pPr>
    <w:rPr>
      <w:rFonts w:ascii="宋体" w:hAnsi="Times New Roman" w:eastAsia="宋体" w:cs="Times New Roman"/>
      <w:sz w:val="21"/>
      <w:lang w:val="en-US" w:eastAsia="zh-CN" w:bidi="ar-SA"/>
    </w:rPr>
  </w:style>
  <w:style w:type="paragraph" w:customStyle="1" w:styleId="104">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105">
    <w:name w:val="封面一致性程度标识2"/>
    <w:basedOn w:val="67"/>
    <w:qFormat/>
    <w:uiPriority w:val="0"/>
    <w:pPr>
      <w:framePr w:wrap="around" w:y="4469"/>
    </w:pPr>
  </w:style>
  <w:style w:type="paragraph" w:customStyle="1" w:styleId="106">
    <w:name w:val="注×："/>
    <w:qFormat/>
    <w:uiPriority w:val="0"/>
    <w:pPr>
      <w:widowControl w:val="0"/>
      <w:numPr>
        <w:ilvl w:val="0"/>
        <w:numId w:val="16"/>
      </w:numPr>
      <w:autoSpaceDE w:val="0"/>
      <w:autoSpaceDN w:val="0"/>
      <w:jc w:val="both"/>
    </w:pPr>
    <w:rPr>
      <w:rFonts w:ascii="宋体" w:hAnsi="Times New Roman" w:eastAsia="宋体" w:cs="Times New Roman"/>
      <w:sz w:val="18"/>
      <w:szCs w:val="18"/>
      <w:lang w:val="en-US" w:eastAsia="zh-CN" w:bidi="ar-SA"/>
    </w:rPr>
  </w:style>
  <w:style w:type="paragraph" w:customStyle="1" w:styleId="107">
    <w:name w:val="附录标识"/>
    <w:basedOn w:val="1"/>
    <w:next w:val="45"/>
    <w:qFormat/>
    <w:uiPriority w:val="0"/>
    <w:pPr>
      <w:keepNext/>
      <w:widowControl/>
      <w:numPr>
        <w:ilvl w:val="0"/>
        <w:numId w:val="3"/>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108">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09">
    <w:name w:val="列项◆（三级）"/>
    <w:basedOn w:val="1"/>
    <w:qFormat/>
    <w:uiPriority w:val="0"/>
    <w:pPr>
      <w:numPr>
        <w:ilvl w:val="2"/>
        <w:numId w:val="10"/>
      </w:numPr>
    </w:pPr>
    <w:rPr>
      <w:rFonts w:ascii="宋体"/>
      <w:szCs w:val="21"/>
    </w:rPr>
  </w:style>
  <w:style w:type="paragraph" w:customStyle="1" w:styleId="110">
    <w:name w:val="注：（正文）"/>
    <w:basedOn w:val="78"/>
    <w:next w:val="45"/>
    <w:qFormat/>
    <w:uiPriority w:val="0"/>
  </w:style>
  <w:style w:type="paragraph" w:customStyle="1" w:styleId="111">
    <w:name w:val="一级无"/>
    <w:basedOn w:val="77"/>
    <w:qFormat/>
    <w:uiPriority w:val="0"/>
    <w:pPr>
      <w:spacing w:beforeLines="0" w:afterLines="0"/>
    </w:pPr>
    <w:rPr>
      <w:rFonts w:ascii="宋体" w:eastAsia="宋体"/>
    </w:rPr>
  </w:style>
  <w:style w:type="paragraph" w:customStyle="1" w:styleId="112">
    <w:name w:val="二级无"/>
    <w:basedOn w:val="76"/>
    <w:qFormat/>
    <w:uiPriority w:val="0"/>
    <w:pPr>
      <w:spacing w:beforeLines="0" w:afterLines="0"/>
    </w:pPr>
    <w:rPr>
      <w:rFonts w:ascii="宋体" w:eastAsia="宋体"/>
    </w:rPr>
  </w:style>
  <w:style w:type="paragraph" w:customStyle="1" w:styleId="113">
    <w:name w:val="标准书眉_偶数页"/>
    <w:basedOn w:val="104"/>
    <w:next w:val="1"/>
    <w:qFormat/>
    <w:uiPriority w:val="0"/>
    <w:pPr>
      <w:jc w:val="left"/>
    </w:pPr>
  </w:style>
  <w:style w:type="paragraph" w:customStyle="1" w:styleId="114">
    <w:name w:val="附录三级无"/>
    <w:basedOn w:val="57"/>
    <w:qFormat/>
    <w:uiPriority w:val="0"/>
    <w:pPr>
      <w:tabs>
        <w:tab w:val="clear" w:pos="360"/>
      </w:tabs>
      <w:spacing w:beforeLines="0" w:afterLines="0"/>
    </w:pPr>
    <w:rPr>
      <w:rFonts w:ascii="宋体" w:eastAsia="宋体"/>
      <w:szCs w:val="21"/>
    </w:rPr>
  </w:style>
  <w:style w:type="paragraph" w:customStyle="1" w:styleId="115">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116">
    <w:name w:val="列项——（一级）"/>
    <w:qFormat/>
    <w:uiPriority w:val="0"/>
    <w:pPr>
      <w:widowControl w:val="0"/>
      <w:numPr>
        <w:ilvl w:val="0"/>
        <w:numId w:val="10"/>
      </w:numPr>
      <w:jc w:val="both"/>
    </w:pPr>
    <w:rPr>
      <w:rFonts w:ascii="宋体" w:hAnsi="Times New Roman" w:eastAsia="宋体" w:cs="Times New Roman"/>
      <w:sz w:val="21"/>
      <w:lang w:val="en-US" w:eastAsia="zh-CN" w:bidi="ar-SA"/>
    </w:rPr>
  </w:style>
  <w:style w:type="paragraph" w:customStyle="1" w:styleId="117">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118">
    <w:name w:val="目次、标准名称标题"/>
    <w:basedOn w:val="1"/>
    <w:next w:val="45"/>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119">
    <w:name w:val="参考文献"/>
    <w:basedOn w:val="1"/>
    <w:next w:val="45"/>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120">
    <w:name w:val="四级无"/>
    <w:basedOn w:val="74"/>
    <w:qFormat/>
    <w:uiPriority w:val="0"/>
    <w:pPr>
      <w:spacing w:beforeLines="0" w:afterLines="0"/>
    </w:pPr>
    <w:rPr>
      <w:rFonts w:ascii="宋体" w:eastAsia="宋体"/>
    </w:rPr>
  </w:style>
  <w:style w:type="paragraph" w:customStyle="1" w:styleId="121">
    <w:name w:val="数字编号列项（二级）"/>
    <w:qFormat/>
    <w:uiPriority w:val="0"/>
    <w:pPr>
      <w:numPr>
        <w:ilvl w:val="1"/>
        <w:numId w:val="9"/>
      </w:numPr>
      <w:jc w:val="both"/>
    </w:pPr>
    <w:rPr>
      <w:rFonts w:ascii="宋体" w:hAnsi="Times New Roman" w:eastAsia="宋体" w:cs="Times New Roman"/>
      <w:sz w:val="21"/>
      <w:lang w:val="en-US" w:eastAsia="zh-CN" w:bidi="ar-SA"/>
    </w:rPr>
  </w:style>
  <w:style w:type="paragraph" w:customStyle="1" w:styleId="122">
    <w:name w:val="封面正文"/>
    <w:qFormat/>
    <w:uiPriority w:val="0"/>
    <w:pPr>
      <w:jc w:val="both"/>
    </w:pPr>
    <w:rPr>
      <w:rFonts w:ascii="Times New Roman" w:hAnsi="Times New Roman" w:eastAsia="宋体" w:cs="Times New Roman"/>
      <w:lang w:val="en-US" w:eastAsia="zh-CN" w:bidi="ar-SA"/>
    </w:rPr>
  </w:style>
  <w:style w:type="paragraph" w:customStyle="1" w:styleId="123">
    <w:name w:val="参考文献、索引标题"/>
    <w:basedOn w:val="1"/>
    <w:next w:val="45"/>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124">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125">
    <w:name w:val="其他发布日期"/>
    <w:basedOn w:val="62"/>
    <w:qFormat/>
    <w:uiPriority w:val="0"/>
    <w:pPr>
      <w:framePr w:wrap="around" w:vAnchor="page" w:hAnchor="text" w:x="1419"/>
    </w:pPr>
  </w:style>
  <w:style w:type="paragraph" w:customStyle="1" w:styleId="126">
    <w:name w:val="注×：（正文）"/>
    <w:qFormat/>
    <w:uiPriority w:val="0"/>
    <w:pPr>
      <w:numPr>
        <w:ilvl w:val="0"/>
        <w:numId w:val="17"/>
      </w:numPr>
      <w:jc w:val="both"/>
    </w:pPr>
    <w:rPr>
      <w:rFonts w:ascii="宋体" w:hAnsi="Times New Roman" w:eastAsia="宋体" w:cs="Times New Roman"/>
      <w:sz w:val="18"/>
      <w:szCs w:val="18"/>
      <w:lang w:val="en-US" w:eastAsia="zh-CN" w:bidi="ar-SA"/>
    </w:rPr>
  </w:style>
  <w:style w:type="paragraph" w:customStyle="1" w:styleId="127">
    <w:name w:val="发布部门"/>
    <w:next w:val="45"/>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128">
    <w:name w:val="附录标题"/>
    <w:basedOn w:val="45"/>
    <w:next w:val="45"/>
    <w:qFormat/>
    <w:uiPriority w:val="0"/>
    <w:pPr>
      <w:ind w:firstLine="0" w:firstLineChars="0"/>
      <w:jc w:val="center"/>
    </w:pPr>
    <w:rPr>
      <w:rFonts w:ascii="黑体" w:eastAsia="黑体"/>
    </w:rPr>
  </w:style>
  <w:style w:type="paragraph" w:customStyle="1" w:styleId="129">
    <w:name w:val="附录表标号"/>
    <w:basedOn w:val="1"/>
    <w:next w:val="45"/>
    <w:qFormat/>
    <w:uiPriority w:val="0"/>
    <w:pPr>
      <w:numPr>
        <w:ilvl w:val="0"/>
        <w:numId w:val="15"/>
      </w:numPr>
      <w:tabs>
        <w:tab w:val="clear" w:pos="0"/>
      </w:tabs>
      <w:spacing w:line="14" w:lineRule="exact"/>
      <w:ind w:left="811" w:hanging="448"/>
      <w:jc w:val="center"/>
      <w:outlineLvl w:val="0"/>
    </w:pPr>
    <w:rPr>
      <w:color w:val="FFFFFF"/>
    </w:rPr>
  </w:style>
  <w:style w:type="paragraph" w:customStyle="1" w:styleId="130">
    <w:name w:val="封面标准文稿类别2"/>
    <w:basedOn w:val="66"/>
    <w:qFormat/>
    <w:uiPriority w:val="0"/>
    <w:pPr>
      <w:framePr w:wrap="around" w:y="4469"/>
    </w:pPr>
  </w:style>
  <w:style w:type="paragraph" w:customStyle="1" w:styleId="131">
    <w:name w:val="五级无"/>
    <w:basedOn w:val="73"/>
    <w:qFormat/>
    <w:uiPriority w:val="0"/>
    <w:pPr>
      <w:spacing w:beforeLines="0" w:afterLines="0"/>
    </w:pPr>
    <w:rPr>
      <w:rFonts w:ascii="宋体" w:eastAsia="宋体"/>
    </w:rPr>
  </w:style>
  <w:style w:type="paragraph" w:customStyle="1" w:styleId="132">
    <w:name w:val="附录图标题"/>
    <w:basedOn w:val="1"/>
    <w:next w:val="45"/>
    <w:qFormat/>
    <w:uiPriority w:val="0"/>
    <w:pPr>
      <w:numPr>
        <w:ilvl w:val="1"/>
        <w:numId w:val="8"/>
      </w:numPr>
      <w:tabs>
        <w:tab w:val="left" w:pos="363"/>
      </w:tabs>
      <w:spacing w:beforeLines="50" w:afterLines="50"/>
      <w:ind w:left="0" w:firstLine="0"/>
      <w:jc w:val="center"/>
    </w:pPr>
    <w:rPr>
      <w:rFonts w:ascii="黑体" w:eastAsia="黑体"/>
      <w:szCs w:val="21"/>
    </w:rPr>
  </w:style>
  <w:style w:type="paragraph" w:customStyle="1" w:styleId="133">
    <w:name w:val="附录公式编号制表符"/>
    <w:basedOn w:val="1"/>
    <w:next w:val="45"/>
    <w:qFormat/>
    <w:uiPriority w:val="0"/>
    <w:pPr>
      <w:widowControl/>
      <w:tabs>
        <w:tab w:val="center" w:pos="4201"/>
        <w:tab w:val="right" w:leader="dot" w:pos="9298"/>
      </w:tabs>
      <w:autoSpaceDE w:val="0"/>
      <w:autoSpaceDN w:val="0"/>
    </w:pPr>
    <w:rPr>
      <w:rFonts w:ascii="宋体"/>
      <w:kern w:val="0"/>
      <w:szCs w:val="20"/>
    </w:rPr>
  </w:style>
  <w:style w:type="paragraph" w:customStyle="1" w:styleId="134">
    <w:name w:val="附录二级无"/>
    <w:basedOn w:val="58"/>
    <w:qFormat/>
    <w:uiPriority w:val="0"/>
    <w:pPr>
      <w:tabs>
        <w:tab w:val="clear" w:pos="360"/>
      </w:tabs>
      <w:spacing w:beforeLines="0" w:afterLines="0"/>
    </w:pPr>
    <w:rPr>
      <w:rFonts w:ascii="宋体" w:eastAsia="宋体"/>
      <w:szCs w:val="21"/>
    </w:rPr>
  </w:style>
  <w:style w:type="paragraph" w:customStyle="1" w:styleId="135">
    <w:name w:val="封面标准文稿编辑信息2"/>
    <w:basedOn w:val="93"/>
    <w:qFormat/>
    <w:uiPriority w:val="0"/>
    <w:pPr>
      <w:framePr w:wrap="around" w:y="4469"/>
    </w:pPr>
  </w:style>
  <w:style w:type="paragraph" w:customStyle="1" w:styleId="136">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37">
    <w:name w:val="附录字母编号列项（一级）"/>
    <w:qFormat/>
    <w:uiPriority w:val="0"/>
    <w:pPr>
      <w:numPr>
        <w:ilvl w:val="0"/>
        <w:numId w:val="5"/>
      </w:numPr>
    </w:pPr>
    <w:rPr>
      <w:rFonts w:ascii="宋体" w:hAnsi="Times New Roman" w:eastAsia="宋体" w:cs="Times New Roman"/>
      <w:sz w:val="21"/>
      <w:lang w:val="en-US" w:eastAsia="zh-CN" w:bidi="ar-SA"/>
    </w:rPr>
  </w:style>
  <w:style w:type="paragraph" w:customStyle="1" w:styleId="138">
    <w:name w:val="其他发布部门"/>
    <w:basedOn w:val="127"/>
    <w:qFormat/>
    <w:uiPriority w:val="0"/>
    <w:pPr>
      <w:framePr w:wrap="around" w:y="15310"/>
      <w:spacing w:line="0" w:lineRule="atLeast"/>
    </w:pPr>
    <w:rPr>
      <w:rFonts w:ascii="黑体" w:eastAsia="黑体"/>
      <w:b w:val="0"/>
    </w:rPr>
  </w:style>
  <w:style w:type="paragraph" w:customStyle="1" w:styleId="139">
    <w:name w:val="终结线"/>
    <w:basedOn w:val="1"/>
    <w:qFormat/>
    <w:uiPriority w:val="0"/>
    <w:pPr>
      <w:framePr w:hSpace="181" w:vSpace="181" w:wrap="around" w:vAnchor="text" w:hAnchor="margin" w:xAlign="center" w:y="285"/>
    </w:pPr>
  </w:style>
  <w:style w:type="paragraph" w:customStyle="1" w:styleId="140">
    <w:name w:val="其他标准标志"/>
    <w:basedOn w:val="124"/>
    <w:qFormat/>
    <w:uiPriority w:val="0"/>
    <w:pPr>
      <w:framePr w:w="6101" w:wrap="around" w:vAnchor="page" w:hAnchor="page" w:x="4673" w:y="942"/>
    </w:pPr>
    <w:rPr>
      <w:w w:val="130"/>
    </w:rPr>
  </w:style>
  <w:style w:type="paragraph" w:customStyle="1" w:styleId="141">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42">
    <w:name w:val="图的脚注"/>
    <w:next w:val="45"/>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43">
    <w:name w:val="三级无"/>
    <w:basedOn w:val="75"/>
    <w:qFormat/>
    <w:uiPriority w:val="0"/>
    <w:pPr>
      <w:spacing w:beforeLines="0" w:afterLines="0"/>
    </w:pPr>
    <w:rPr>
      <w:rFonts w:ascii="宋体" w:eastAsia="宋体"/>
    </w:rPr>
  </w:style>
  <w:style w:type="paragraph" w:customStyle="1" w:styleId="144">
    <w:name w:val="示例后文字"/>
    <w:basedOn w:val="45"/>
    <w:next w:val="45"/>
    <w:qFormat/>
    <w:uiPriority w:val="0"/>
    <w:pPr>
      <w:ind w:firstLine="360"/>
    </w:pPr>
    <w:rPr>
      <w:sz w:val="18"/>
    </w:rPr>
  </w:style>
  <w:style w:type="paragraph" w:customStyle="1" w:styleId="145">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46">
    <w:name w:val="列出段落1"/>
    <w:basedOn w:val="1"/>
    <w:qFormat/>
    <w:uiPriority w:val="99"/>
    <w:pPr>
      <w:spacing w:beforeLines="50" w:afterLines="50" w:line="360" w:lineRule="auto"/>
      <w:ind w:left="357" w:firstLine="420" w:firstLineChars="200"/>
    </w:pPr>
    <w:rPr>
      <w:szCs w:val="21"/>
    </w:rPr>
  </w:style>
  <w:style w:type="character" w:customStyle="1" w:styleId="147">
    <w:name w:val="批注框文本 Char"/>
    <w:basedOn w:val="34"/>
    <w:link w:val="16"/>
    <w:semiHidden/>
    <w:qFormat/>
    <w:uiPriority w:val="99"/>
    <w:rPr>
      <w:rFonts w:ascii="Times New Roman" w:hAnsi="Times New Roman" w:eastAsia="宋体" w:cs="Times New Roman"/>
      <w:sz w:val="18"/>
      <w:szCs w:val="18"/>
    </w:rPr>
  </w:style>
  <w:style w:type="character" w:customStyle="1" w:styleId="148">
    <w:name w:val="style7"/>
    <w:basedOn w:val="34"/>
    <w:qFormat/>
    <w:uiPriority w:val="0"/>
  </w:style>
  <w:style w:type="paragraph" w:customStyle="1" w:styleId="149">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150">
    <w:name w:val="style71"/>
    <w:basedOn w:val="34"/>
    <w:qFormat/>
    <w:uiPriority w:val="99"/>
    <w:rPr>
      <w:sz w:val="21"/>
      <w:szCs w:val="21"/>
    </w:rPr>
  </w:style>
  <w:style w:type="character" w:customStyle="1" w:styleId="151">
    <w:name w:val="批注文字 Char"/>
    <w:basedOn w:val="34"/>
    <w:link w:val="8"/>
    <w:semiHidden/>
    <w:qFormat/>
    <w:uiPriority w:val="99"/>
    <w:rPr>
      <w:kern w:val="2"/>
      <w:sz w:val="21"/>
      <w:szCs w:val="24"/>
    </w:rPr>
  </w:style>
  <w:style w:type="character" w:customStyle="1" w:styleId="152">
    <w:name w:val="批注主题 Char"/>
    <w:basedOn w:val="151"/>
    <w:link w:val="31"/>
    <w:semiHidden/>
    <w:qFormat/>
    <w:uiPriority w:val="99"/>
    <w:rPr>
      <w:b/>
      <w:bCs/>
      <w:kern w:val="2"/>
      <w:sz w:val="21"/>
      <w:szCs w:val="24"/>
    </w:rPr>
  </w:style>
  <w:style w:type="paragraph" w:customStyle="1" w:styleId="153">
    <w:name w:val="修订2"/>
    <w:hidden/>
    <w:unhideWhenUsed/>
    <w:qFormat/>
    <w:uiPriority w:val="99"/>
    <w:rPr>
      <w:rFonts w:ascii="Times New Roman" w:hAnsi="Times New Roman" w:eastAsia="宋体" w:cs="Times New Roman"/>
      <w:kern w:val="2"/>
      <w:sz w:val="21"/>
      <w:szCs w:val="24"/>
      <w:lang w:val="en-US" w:eastAsia="zh-CN" w:bidi="ar-SA"/>
    </w:rPr>
  </w:style>
  <w:style w:type="character" w:customStyle="1" w:styleId="154">
    <w:name w:val="标题 1 Char"/>
    <w:basedOn w:val="34"/>
    <w:link w:val="2"/>
    <w:uiPriority w:val="9"/>
    <w:rPr>
      <w:rFonts w:ascii="黑体" w:hAnsi="黑体" w:eastAsia="黑体"/>
      <w:bCs/>
      <w:kern w:val="44"/>
      <w:sz w:val="21"/>
      <w:szCs w:val="44"/>
    </w:rPr>
  </w:style>
</w:styles>
</file>

<file path=word/_rels/document.xml.rels><?xml version="1.0" encoding="UTF-8" standalone="yes"?>
<Relationships xmlns="http://schemas.openxmlformats.org/package/2006/relationships"><Relationship Id="rId9" Type="http://schemas.openxmlformats.org/officeDocument/2006/relationships/footer" Target="footer1.xml"/><Relationship Id="rId8" Type="http://schemas.openxmlformats.org/officeDocument/2006/relationships/header" Target="header6.xml"/><Relationship Id="rId7" Type="http://schemas.openxmlformats.org/officeDocument/2006/relationships/header" Target="header5.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3.xml"/><Relationship Id="rId13" Type="http://schemas.openxmlformats.org/officeDocument/2006/relationships/footer" Target="footer2.xml"/><Relationship Id="rId12" Type="http://schemas.openxmlformats.org/officeDocument/2006/relationships/header" Target="header9.xml"/><Relationship Id="rId11" Type="http://schemas.openxmlformats.org/officeDocument/2006/relationships/header" Target="header8.xml"/><Relationship Id="rId10" Type="http://schemas.openxmlformats.org/officeDocument/2006/relationships/header" Target="header7.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1"/>
    <customShpInfo spid="_x0000_s2050"/>
    <customShpInfo spid="_x0000_s2049"/>
    <customShpInfo spid="_x0000_s2054"/>
    <customShpInfo spid="_x0000_s2053"/>
    <customShpInfo spid="_x0000_s2052"/>
    <customShpInfo spid="_x0000_s2060"/>
    <customShpInfo spid="_x0000_s2057"/>
    <customShpInfo spid="_x0000_s2059"/>
    <customShpInfo spid="_x0000_s2056"/>
    <customShpInfo spid="_x0000_s2058"/>
    <customShpInfo spid="_x0000_s2055"/>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11</Pages>
  <Words>4504</Words>
  <Characters>5197</Characters>
  <Lines>39</Lines>
  <Paragraphs>11</Paragraphs>
  <TotalTime>160</TotalTime>
  <ScaleCrop>false</ScaleCrop>
  <LinksUpToDate>false</LinksUpToDate>
  <CharactersWithSpaces>5338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2024-10-22T03:05:00Z</dcterms:created>
  <dc:creator>20171221-5</dc:creator>
  <cp:lastModifiedBy>马雪</cp:lastModifiedBy>
  <cp:lastPrinted>2018-02-01T06:42:00Z</cp:lastPrinted>
  <dcterms:modified xsi:type="dcterms:W3CDTF">2025-04-03T08:51:10Z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2D86FB8B8F2B4D08851FB1C7AD37B22B_13</vt:lpwstr>
  </property>
  <property fmtid="{D5CDD505-2E9C-101B-9397-08002B2CF9AE}" pid="4" name="KSOTemplateDocerSaveRecord">
    <vt:lpwstr>eyJoZGlkIjoiYzIyYzJkNzEzMjQwZjVlZDkxNjFjOTcxNmM5ZTUzYzAiLCJ1c2VySWQiOiI3MDQ5NzI3MjUifQ==</vt:lpwstr>
  </property>
</Properties>
</file>