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117B6D3">
      <w:pPr>
        <w:pStyle w:val="27"/>
        <w:spacing w:before="156" w:beforeLines="50" w:after="156" w:afterLines="50"/>
        <w:ind w:left="357" w:firstLine="0" w:firstLineChars="0"/>
        <w:jc w:val="distribute"/>
        <w:rPr>
          <w:rFonts w:eastAsia="黑体"/>
          <w:sz w:val="48"/>
          <w:szCs w:val="48"/>
        </w:rPr>
      </w:pPr>
      <w:r>
        <w:rPr>
          <w:rFonts w:hint="eastAsia" w:eastAsia="黑体" w:cs="黑体"/>
          <w:sz w:val="48"/>
          <w:szCs w:val="48"/>
        </w:rPr>
        <w:t>绿色食品生产操作规程</w:t>
      </w:r>
    </w:p>
    <w:p w14:paraId="72D16D9A">
      <w:pPr>
        <w:pStyle w:val="27"/>
        <w:spacing w:before="156" w:beforeLines="50" w:after="156" w:afterLines="50"/>
        <w:ind w:left="357" w:firstLine="0" w:firstLineChars="0"/>
        <w:jc w:val="right"/>
        <w:rPr>
          <w:rFonts w:eastAsia="黑体"/>
          <w:sz w:val="28"/>
          <w:szCs w:val="28"/>
        </w:rPr>
      </w:pPr>
      <w:r>
        <mc:AlternateContent>
          <mc:Choice Requires="wps">
            <w:drawing>
              <wp:anchor distT="0" distB="0" distL="114300" distR="114300" simplePos="0" relativeHeight="251659264" behindDoc="0" locked="0" layoutInCell="1" allowOverlap="1">
                <wp:simplePos x="0" y="0"/>
                <wp:positionH relativeFrom="column">
                  <wp:posOffset>160020</wp:posOffset>
                </wp:positionH>
                <wp:positionV relativeFrom="paragraph">
                  <wp:posOffset>386080</wp:posOffset>
                </wp:positionV>
                <wp:extent cx="5806440" cy="0"/>
                <wp:effectExtent l="0" t="0" r="22860" b="19050"/>
                <wp:wrapNone/>
                <wp:docPr id="1" name="自选图形 2"/>
                <wp:cNvGraphicFramePr/>
                <a:graphic xmlns:a="http://schemas.openxmlformats.org/drawingml/2006/main">
                  <a:graphicData uri="http://schemas.microsoft.com/office/word/2010/wordprocessingShape">
                    <wps:wsp>
                      <wps:cNvCnPr/>
                      <wps:spPr>
                        <a:xfrm>
                          <a:off x="0" y="0"/>
                          <a:ext cx="5806440" cy="0"/>
                        </a:xfrm>
                        <a:prstGeom prst="straightConnector1">
                          <a:avLst/>
                        </a:prstGeom>
                        <a:ln w="9525" cap="flat" cmpd="sng">
                          <a:solidFill>
                            <a:srgbClr val="000000"/>
                          </a:solidFill>
                          <a:prstDash val="solid"/>
                          <a:headEnd type="none" w="med" len="med"/>
                          <a:tailEnd type="none" w="med" len="med"/>
                        </a:ln>
                        <a:effectLst/>
                      </wps:spPr>
                      <wps:bodyPr/>
                    </wps:wsp>
                  </a:graphicData>
                </a:graphic>
              </wp:anchor>
            </w:drawing>
          </mc:Choice>
          <mc:Fallback>
            <w:pict>
              <v:shape id="自选图形 2" o:spid="_x0000_s1026" o:spt="32" type="#_x0000_t32" style="position:absolute;left:0pt;margin-left:12.6pt;margin-top:30.4pt;height:0pt;width:457.2pt;z-index:251659264;mso-width-relative:page;mso-height-relative:page;" filled="f" stroked="t" coordsize="21600,21600" o:gfxdata="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">
                <v:fill on="f" focussize="0,0"/>
                <v:stroke color="#000000" joinstyle="round"/>
                <v:imagedata o:title=""/>
                <o:lock v:ext="edit" aspectratio="f"/>
              </v:shape>
            </w:pict>
          </mc:Fallback>
        </mc:AlternateContent>
      </w:r>
      <w:r>
        <w:rPr>
          <w:rFonts w:hint="eastAsia" w:eastAsia="黑体" w:cs="黑体"/>
          <w:sz w:val="28"/>
          <w:szCs w:val="28"/>
        </w:rPr>
        <w:t>L</w:t>
      </w:r>
      <w:r>
        <w:rPr>
          <w:rFonts w:eastAsia="黑体" w:cs="黑体"/>
          <w:sz w:val="28"/>
          <w:szCs w:val="28"/>
        </w:rPr>
        <w:t xml:space="preserve">B/T </w:t>
      </w:r>
      <w:r>
        <w:rPr>
          <w:rFonts w:hint="eastAsia" w:ascii="黑体" w:hAnsi="黑体" w:eastAsia="黑体" w:cs="黑体"/>
          <w:sz w:val="28"/>
          <w:szCs w:val="28"/>
        </w:rPr>
        <w:t>346</w:t>
      </w:r>
      <w:r>
        <w:rPr>
          <w:rFonts w:ascii="黑体" w:hAnsi="黑体" w:eastAsia="黑体" w:cs="黑体"/>
          <w:sz w:val="28"/>
          <w:szCs w:val="28"/>
        </w:rPr>
        <w:t>-2025</w:t>
      </w:r>
    </w:p>
    <w:p w14:paraId="359CD773">
      <w:pPr>
        <w:pStyle w:val="27"/>
        <w:spacing w:before="156" w:beforeLines="50" w:after="156" w:afterLines="50"/>
        <w:ind w:left="357" w:firstLine="0" w:firstLineChars="0"/>
        <w:jc w:val="center"/>
        <w:rPr>
          <w:rFonts w:eastAsia="黑体"/>
          <w:sz w:val="32"/>
          <w:szCs w:val="32"/>
        </w:rPr>
      </w:pPr>
    </w:p>
    <w:p w14:paraId="65EF9E03">
      <w:pPr>
        <w:pStyle w:val="27"/>
        <w:spacing w:before="156" w:beforeLines="50" w:after="156" w:afterLines="50"/>
        <w:ind w:firstLine="0" w:firstLineChars="0"/>
        <w:rPr>
          <w:rFonts w:eastAsia="黑体"/>
          <w:sz w:val="32"/>
          <w:szCs w:val="32"/>
        </w:rPr>
      </w:pPr>
    </w:p>
    <w:p w14:paraId="4F321740">
      <w:pPr>
        <w:pStyle w:val="27"/>
        <w:spacing w:before="156" w:beforeLines="50" w:after="156" w:afterLines="50"/>
        <w:ind w:firstLine="0" w:firstLineChars="0"/>
        <w:rPr>
          <w:rFonts w:eastAsia="黑体"/>
          <w:sz w:val="32"/>
          <w:szCs w:val="32"/>
        </w:rPr>
      </w:pPr>
    </w:p>
    <w:p w14:paraId="1DB3C715">
      <w:pPr>
        <w:pStyle w:val="27"/>
        <w:spacing w:before="156" w:beforeLines="50" w:after="156" w:afterLines="50"/>
        <w:ind w:firstLine="0" w:firstLineChars="0"/>
        <w:rPr>
          <w:rFonts w:eastAsia="黑体"/>
          <w:sz w:val="32"/>
          <w:szCs w:val="32"/>
        </w:rPr>
      </w:pPr>
    </w:p>
    <w:p w14:paraId="12E9A02F">
      <w:pPr>
        <w:pStyle w:val="27"/>
        <w:spacing w:before="156" w:beforeLines="50" w:after="156" w:afterLines="50"/>
        <w:ind w:firstLine="0" w:firstLineChars="0"/>
        <w:jc w:val="center"/>
        <w:rPr>
          <w:rFonts w:eastAsia="黑体" w:cs="黑体"/>
          <w:sz w:val="48"/>
          <w:szCs w:val="48"/>
        </w:rPr>
      </w:pPr>
      <w:r>
        <w:rPr>
          <w:rFonts w:hint="eastAsia" w:eastAsia="黑体" w:cs="黑体"/>
          <w:sz w:val="48"/>
          <w:szCs w:val="48"/>
        </w:rPr>
        <w:t>北方地区</w:t>
      </w:r>
    </w:p>
    <w:p w14:paraId="1053BD96">
      <w:pPr>
        <w:pStyle w:val="27"/>
        <w:spacing w:before="156" w:beforeLines="50" w:after="156" w:afterLines="50"/>
        <w:ind w:firstLine="0" w:firstLineChars="0"/>
        <w:jc w:val="center"/>
        <w:rPr>
          <w:rFonts w:eastAsia="黑体"/>
          <w:sz w:val="32"/>
          <w:szCs w:val="32"/>
        </w:rPr>
      </w:pPr>
      <w:r>
        <w:rPr>
          <w:rFonts w:hint="eastAsia" w:eastAsia="黑体" w:cs="黑体"/>
          <w:sz w:val="48"/>
          <w:szCs w:val="48"/>
        </w:rPr>
        <w:t>绿色食品露地秋葵生产操作规程</w:t>
      </w:r>
    </w:p>
    <w:p w14:paraId="052EBC6C">
      <w:pPr>
        <w:pStyle w:val="27"/>
        <w:spacing w:before="156" w:beforeLines="50" w:after="156" w:afterLines="50"/>
        <w:ind w:left="357" w:firstLine="0" w:firstLineChars="0"/>
        <w:jc w:val="center"/>
        <w:rPr>
          <w:rFonts w:eastAsia="黑体"/>
          <w:sz w:val="32"/>
          <w:szCs w:val="32"/>
        </w:rPr>
      </w:pPr>
    </w:p>
    <w:p w14:paraId="19A0CEE0">
      <w:pPr>
        <w:pStyle w:val="27"/>
        <w:spacing w:before="156" w:beforeLines="50" w:after="156" w:afterLines="50"/>
        <w:ind w:left="357" w:firstLine="0" w:firstLineChars="0"/>
        <w:jc w:val="center"/>
        <w:rPr>
          <w:rFonts w:eastAsia="黑体"/>
          <w:sz w:val="32"/>
          <w:szCs w:val="32"/>
        </w:rPr>
      </w:pPr>
    </w:p>
    <w:p w14:paraId="21EFAD48">
      <w:pPr>
        <w:pStyle w:val="27"/>
        <w:spacing w:before="156" w:beforeLines="50" w:after="156" w:afterLines="50"/>
        <w:ind w:left="357" w:firstLine="0" w:firstLineChars="0"/>
        <w:jc w:val="center"/>
        <w:rPr>
          <w:rFonts w:eastAsia="黑体"/>
          <w:sz w:val="32"/>
          <w:szCs w:val="32"/>
        </w:rPr>
      </w:pPr>
    </w:p>
    <w:p w14:paraId="5E061556">
      <w:pPr>
        <w:pStyle w:val="27"/>
        <w:spacing w:before="156" w:beforeLines="50" w:after="156" w:afterLines="50"/>
        <w:ind w:left="357" w:firstLine="0" w:firstLineChars="0"/>
        <w:jc w:val="center"/>
        <w:rPr>
          <w:rFonts w:eastAsia="黑体"/>
          <w:sz w:val="32"/>
          <w:szCs w:val="32"/>
        </w:rPr>
      </w:pPr>
    </w:p>
    <w:p w14:paraId="317D36CC">
      <w:pPr>
        <w:pStyle w:val="27"/>
        <w:spacing w:before="156" w:beforeLines="50" w:after="156" w:afterLines="50"/>
        <w:ind w:left="357" w:firstLine="0" w:firstLineChars="0"/>
        <w:jc w:val="center"/>
        <w:rPr>
          <w:rFonts w:eastAsia="黑体"/>
          <w:sz w:val="32"/>
          <w:szCs w:val="32"/>
        </w:rPr>
      </w:pPr>
    </w:p>
    <w:p w14:paraId="20737A07">
      <w:pPr>
        <w:pStyle w:val="27"/>
        <w:spacing w:before="156" w:beforeLines="50" w:after="156" w:afterLines="50"/>
        <w:ind w:firstLine="0" w:firstLineChars="0"/>
        <w:rPr>
          <w:rFonts w:eastAsia="黑体"/>
          <w:sz w:val="32"/>
          <w:szCs w:val="32"/>
        </w:rPr>
      </w:pPr>
    </w:p>
    <w:p w14:paraId="2F296751">
      <w:pPr>
        <w:pStyle w:val="27"/>
        <w:spacing w:before="156" w:beforeLines="50" w:after="156" w:afterLines="50"/>
        <w:ind w:firstLine="0" w:firstLineChars="0"/>
        <w:rPr>
          <w:rFonts w:eastAsia="黑体"/>
          <w:sz w:val="32"/>
          <w:szCs w:val="32"/>
        </w:rPr>
      </w:pPr>
    </w:p>
    <w:p w14:paraId="1A7E0D6F">
      <w:pPr>
        <w:pStyle w:val="27"/>
        <w:spacing w:before="156" w:beforeLines="50" w:after="156" w:afterLines="50"/>
        <w:ind w:left="357" w:firstLine="0" w:firstLineChars="0"/>
        <w:jc w:val="left"/>
        <w:rPr>
          <w:rFonts w:eastAsia="黑体"/>
          <w:sz w:val="28"/>
          <w:szCs w:val="28"/>
        </w:rPr>
      </w:pPr>
      <w:r>
        <w:rPr>
          <w:rFonts w:hint="eastAsia" w:ascii="黑体" w:hAnsi="黑体" w:eastAsia="黑体" w:cs="黑体"/>
          <w:sz w:val="28"/>
          <w:szCs w:val="28"/>
        </w:rPr>
        <w:t>2025-</w:t>
      </w:r>
      <w:r>
        <w:rPr>
          <w:rFonts w:hint="eastAsia" w:ascii="黑体" w:hAnsi="黑体" w:eastAsia="黑体" w:cs="黑体"/>
          <w:sz w:val="28"/>
          <w:szCs w:val="28"/>
          <w:lang w:val="en-US" w:eastAsia="zh-CN"/>
        </w:rPr>
        <w:t>04</w:t>
      </w:r>
      <w:r>
        <w:rPr>
          <w:rFonts w:hint="eastAsia" w:ascii="黑体" w:hAnsi="黑体" w:eastAsia="黑体" w:cs="黑体"/>
          <w:sz w:val="28"/>
          <w:szCs w:val="28"/>
        </w:rPr>
        <w:t>-</w:t>
      </w:r>
      <w:r>
        <w:rPr>
          <w:rFonts w:hint="eastAsia" w:ascii="黑体" w:hAnsi="黑体" w:eastAsia="黑体" w:cs="黑体"/>
          <w:sz w:val="28"/>
          <w:szCs w:val="28"/>
          <w:lang w:val="en-US" w:eastAsia="zh-CN"/>
        </w:rPr>
        <w:t>01</w:t>
      </w:r>
      <w:r>
        <w:rPr>
          <w:rFonts w:hint="eastAsia" w:ascii="黑体" w:hAnsi="黑体" w:eastAsia="黑体" w:cs="黑体"/>
          <w:sz w:val="28"/>
          <w:szCs w:val="28"/>
        </w:rPr>
        <w:t xml:space="preserve">发布                    </w:t>
      </w:r>
      <w:r>
        <w:rPr>
          <w:rFonts w:hint="eastAsia" w:ascii="黑体" w:hAnsi="黑体" w:eastAsia="黑体" w:cs="黑体"/>
          <w:sz w:val="28"/>
          <w:szCs w:val="28"/>
          <w:lang w:val="en-US" w:eastAsia="zh-CN"/>
        </w:rPr>
        <w:t xml:space="preserve">    </w:t>
      </w:r>
      <w:bookmarkStart w:id="13" w:name="_GoBack"/>
      <w:bookmarkEnd w:id="13"/>
      <w:r>
        <w:rPr>
          <w:rFonts w:hint="eastAsia" w:ascii="黑体" w:hAnsi="黑体" w:eastAsia="黑体" w:cs="黑体"/>
          <w:sz w:val="28"/>
          <w:szCs w:val="28"/>
        </w:rPr>
        <w:t xml:space="preserve">         2025-</w:t>
      </w:r>
      <w:r>
        <w:rPr>
          <w:rFonts w:hint="eastAsia" w:ascii="黑体" w:hAnsi="黑体" w:eastAsia="黑体" w:cs="黑体"/>
          <w:sz w:val="28"/>
          <w:szCs w:val="28"/>
          <w:lang w:val="en-US" w:eastAsia="zh-CN"/>
        </w:rPr>
        <w:t>04</w:t>
      </w:r>
      <w:r>
        <w:rPr>
          <w:rFonts w:hint="eastAsia" w:ascii="黑体" w:hAnsi="黑体" w:eastAsia="黑体" w:cs="黑体"/>
          <w:sz w:val="28"/>
          <w:szCs w:val="28"/>
        </w:rPr>
        <w:t>-</w:t>
      </w:r>
      <w:r>
        <w:rPr>
          <w:rFonts w:hint="eastAsia" w:ascii="黑体" w:hAnsi="黑体" w:eastAsia="黑体" w:cs="黑体"/>
          <w:sz w:val="28"/>
          <w:szCs w:val="28"/>
          <w:lang w:val="en-US" w:eastAsia="zh-CN"/>
        </w:rPr>
        <w:t>01</w:t>
      </w:r>
      <w:r>
        <w:rPr>
          <w:rFonts w:hint="eastAsia" w:ascii="黑体" w:hAnsi="黑体" w:eastAsia="黑体" w:cs="黑体"/>
          <w:sz w:val="28"/>
          <w:szCs w:val="28"/>
        </w:rPr>
        <w:t>实施</w:t>
      </w:r>
    </w:p>
    <w:p w14:paraId="41CF8A80">
      <w:pPr>
        <w:pStyle w:val="27"/>
        <w:spacing w:before="156" w:beforeLines="50" w:after="156" w:afterLines="50"/>
        <w:ind w:left="357" w:firstLine="0" w:firstLineChars="0"/>
        <w:jc w:val="left"/>
        <w:rPr>
          <w:rFonts w:eastAsia="黑体"/>
          <w:sz w:val="24"/>
          <w:szCs w:val="24"/>
        </w:rPr>
      </w:pPr>
      <w:r>
        <mc:AlternateContent>
          <mc:Choice Requires="wps">
            <w:drawing>
              <wp:anchor distT="0" distB="0" distL="114300" distR="114300" simplePos="0" relativeHeight="251661312" behindDoc="0" locked="0" layoutInCell="1" allowOverlap="1">
                <wp:simplePos x="0" y="0"/>
                <wp:positionH relativeFrom="column">
                  <wp:posOffset>31115</wp:posOffset>
                </wp:positionH>
                <wp:positionV relativeFrom="paragraph">
                  <wp:posOffset>114300</wp:posOffset>
                </wp:positionV>
                <wp:extent cx="5745480" cy="15240"/>
                <wp:effectExtent l="0" t="4445" r="7620" b="8890"/>
                <wp:wrapNone/>
                <wp:docPr id="2" name="自选图形 3"/>
                <wp:cNvGraphicFramePr/>
                <a:graphic xmlns:a="http://schemas.openxmlformats.org/drawingml/2006/main">
                  <a:graphicData uri="http://schemas.microsoft.com/office/word/2010/wordprocessingShape">
                    <wps:wsp>
                      <wps:cNvCnPr/>
                      <wps:spPr>
                        <a:xfrm>
                          <a:off x="0" y="0"/>
                          <a:ext cx="5745480" cy="15240"/>
                        </a:xfrm>
                        <a:prstGeom prst="straightConnector1">
                          <a:avLst/>
                        </a:prstGeom>
                        <a:ln w="9525" cap="flat" cmpd="sng">
                          <a:solidFill>
                            <a:srgbClr val="000000"/>
                          </a:solidFill>
                          <a:prstDash val="solid"/>
                          <a:headEnd type="none" w="med" len="med"/>
                          <a:tailEnd type="none" w="med" len="med"/>
                        </a:ln>
                        <a:effectLst/>
                      </wps:spPr>
                      <wps:bodyPr/>
                    </wps:wsp>
                  </a:graphicData>
                </a:graphic>
              </wp:anchor>
            </w:drawing>
          </mc:Choice>
          <mc:Fallback>
            <w:pict>
              <v:shape id="自选图形 3" o:spid="_x0000_s1026" o:spt="32" type="#_x0000_t32" style="position:absolute;left:0pt;margin-left:2.45pt;margin-top:9pt;height:1.2pt;width:452.4pt;z-index:251661312;mso-width-relative:page;mso-height-relative:page;" filled="f" stroked="t" coordsize="21600,21600" o:gfxdata="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">
                <v:fill on="f" focussize="0,0"/>
                <v:stroke color="#000000" joinstyle="round"/>
                <v:imagedata o:title=""/>
                <o:lock v:ext="edit" aspectratio="f"/>
              </v:shape>
            </w:pict>
          </mc:Fallback>
        </mc:AlternateContent>
      </w:r>
    </w:p>
    <w:p w14:paraId="490CD6FC">
      <w:pPr>
        <w:pStyle w:val="27"/>
        <w:spacing w:before="156" w:beforeLines="50" w:after="156" w:afterLines="50"/>
        <w:ind w:left="357" w:firstLine="0" w:firstLineChars="0"/>
        <w:jc w:val="center"/>
        <w:rPr>
          <w:rFonts w:eastAsia="黑体" w:cs="黑体"/>
          <w:sz w:val="28"/>
          <w:szCs w:val="28"/>
        </w:rPr>
        <w:sectPr>
          <w:headerReference r:id="rId5" w:type="first"/>
          <w:headerReference r:id="rId3" w:type="default"/>
          <w:headerReference r:id="rId4" w:type="even"/>
          <w:pgSz w:w="11906" w:h="16838"/>
          <w:pgMar w:top="567" w:right="1134" w:bottom="1134" w:left="1418" w:header="1418" w:footer="1134" w:gutter="0"/>
          <w:pgNumType w:fmt="upperRoman" w:start="1"/>
          <w:cols w:space="720" w:num="1"/>
          <w:formProt w:val="0"/>
          <w:docGrid w:type="lines" w:linePitch="312" w:charSpace="0"/>
        </w:sectPr>
      </w:pPr>
      <w:r>
        <w:rPr>
          <w:rFonts w:hint="eastAsia" w:eastAsia="华文中宋" w:cs="华文中宋"/>
          <w:spacing w:val="71"/>
          <w:kern w:val="0"/>
          <w:sz w:val="32"/>
          <w:szCs w:val="32"/>
        </w:rPr>
        <w:t>中国绿色</w:t>
      </w:r>
      <w:r>
        <w:rPr>
          <w:rFonts w:eastAsia="华文中宋" w:cs="华文中宋"/>
          <w:spacing w:val="71"/>
          <w:kern w:val="0"/>
          <w:sz w:val="32"/>
          <w:szCs w:val="32"/>
        </w:rPr>
        <w:t>食品</w:t>
      </w:r>
      <w:r>
        <w:rPr>
          <w:rFonts w:hint="eastAsia" w:eastAsia="华文中宋" w:cs="华文中宋"/>
          <w:spacing w:val="71"/>
          <w:kern w:val="0"/>
          <w:sz w:val="32"/>
          <w:szCs w:val="32"/>
        </w:rPr>
        <w:t>发展</w:t>
      </w:r>
      <w:r>
        <w:rPr>
          <w:rFonts w:eastAsia="华文中宋" w:cs="华文中宋"/>
          <w:spacing w:val="71"/>
          <w:kern w:val="0"/>
          <w:sz w:val="32"/>
          <w:szCs w:val="32"/>
        </w:rPr>
        <w:t>中心</w:t>
      </w:r>
      <w:r>
        <w:rPr>
          <w:rFonts w:eastAsia="华文中宋" w:cs="华文中宋"/>
          <w:kern w:val="0"/>
          <w:sz w:val="32"/>
          <w:szCs w:val="32"/>
        </w:rPr>
        <w:t xml:space="preserve">  </w:t>
      </w:r>
      <w:r>
        <w:rPr>
          <w:rFonts w:hint="eastAsia" w:eastAsia="黑体" w:cs="黑体"/>
          <w:sz w:val="28"/>
          <w:szCs w:val="28"/>
        </w:rPr>
        <w:t>发</w:t>
      </w:r>
      <w:r>
        <w:rPr>
          <w:rFonts w:eastAsia="黑体" w:cs="黑体"/>
          <w:sz w:val="28"/>
          <w:szCs w:val="28"/>
        </w:rPr>
        <w:t xml:space="preserve"> </w:t>
      </w:r>
      <w:r>
        <w:rPr>
          <w:rFonts w:hint="eastAsia" w:eastAsia="黑体" w:cs="黑体"/>
          <w:sz w:val="28"/>
          <w:szCs w:val="28"/>
        </w:rPr>
        <w:t>布</w:t>
      </w:r>
    </w:p>
    <w:p w14:paraId="1AE72C69"/>
    <w:p w14:paraId="4C07E75F"/>
    <w:p w14:paraId="728ACA99">
      <w:pPr>
        <w:jc w:val="center"/>
        <w:rPr>
          <w:rFonts w:ascii="黑体" w:hAnsi="黑体" w:eastAsia="黑体"/>
          <w:sz w:val="32"/>
          <w:szCs w:val="32"/>
        </w:rPr>
      </w:pPr>
      <w:r>
        <w:rPr>
          <w:rFonts w:hint="eastAsia" w:ascii="黑体" w:hAnsi="黑体" w:eastAsia="黑体"/>
          <w:sz w:val="32"/>
          <w:szCs w:val="32"/>
        </w:rPr>
        <w:t>前</w:t>
      </w:r>
      <w:bookmarkStart w:id="0" w:name="BKQY"/>
      <w:r>
        <w:rPr>
          <w:rFonts w:ascii="黑体" w:hAnsi="黑体" w:eastAsia="黑体"/>
          <w:sz w:val="32"/>
          <w:szCs w:val="32"/>
        </w:rPr>
        <w:t>  </w:t>
      </w:r>
      <w:r>
        <w:rPr>
          <w:rFonts w:hint="eastAsia" w:ascii="黑体" w:hAnsi="黑体" w:eastAsia="黑体"/>
          <w:sz w:val="32"/>
          <w:szCs w:val="32"/>
        </w:rPr>
        <w:t>言</w:t>
      </w:r>
      <w:bookmarkEnd w:id="0"/>
    </w:p>
    <w:p w14:paraId="7613B446">
      <w:pPr>
        <w:jc w:val="center"/>
        <w:rPr>
          <w:rFonts w:ascii="黑体" w:hAnsi="黑体" w:eastAsia="黑体"/>
          <w:sz w:val="32"/>
          <w:szCs w:val="32"/>
        </w:rPr>
      </w:pPr>
    </w:p>
    <w:p w14:paraId="1C40A49C">
      <w:pPr>
        <w:pStyle w:val="18"/>
        <w:spacing w:line="276" w:lineRule="auto"/>
        <w:ind w:left="210" w:leftChars="100" w:right="420" w:rightChars="200"/>
        <w:rPr>
          <w:rFonts w:ascii="Times New Roman" w:hAnsi="Times New Roman"/>
        </w:rPr>
      </w:pPr>
      <w:r>
        <w:rPr>
          <w:rFonts w:hint="eastAsia" w:ascii="Times New Roman"/>
        </w:rPr>
        <w:t>本规程由中国绿色食品发展中心提出并归口</w:t>
      </w:r>
    </w:p>
    <w:p w14:paraId="43970372">
      <w:pPr>
        <w:pStyle w:val="18"/>
        <w:spacing w:line="276" w:lineRule="auto"/>
        <w:ind w:left="210" w:leftChars="100" w:right="420" w:rightChars="200"/>
        <w:rPr>
          <w:rFonts w:ascii="Times New Roman" w:hAnsi="Times New Roman"/>
        </w:rPr>
      </w:pPr>
      <w:r>
        <w:rPr>
          <w:rFonts w:hint="eastAsia" w:ascii="Times New Roman" w:hAnsi="Times New Roman"/>
        </w:rPr>
        <w:t>本规程起草单位：</w:t>
      </w:r>
      <w:r>
        <w:rPr>
          <w:rFonts w:hint="eastAsia" w:hAnsi="宋体"/>
          <w:lang w:bidi="ar"/>
        </w:rPr>
        <w:t>内蒙古自治区农畜产品质量安全中心、巴彦淖尔市农畜产品质量安全中心、包头市农畜产品质量安全中心、扎兰屯市农村经营服务中心、山东省农业科学院、锡林郭勒盟农畜产品质量安全检测中心、吉林省蔬菜花卉科学研究院、中国绿色食品发展中心、吉林省绿色食品发展中心、宁夏回族自治区农产品质量安全中心。</w:t>
      </w:r>
    </w:p>
    <w:p w14:paraId="6388E8B4">
      <w:pPr>
        <w:pStyle w:val="18"/>
        <w:ind w:left="210" w:leftChars="100" w:right="420" w:rightChars="200"/>
        <w:rPr>
          <w:rFonts w:hAnsi="宋体"/>
        </w:rPr>
      </w:pPr>
      <w:r>
        <w:rPr>
          <w:rFonts w:hint="eastAsia" w:ascii="Times New Roman" w:hAnsi="Times New Roman"/>
        </w:rPr>
        <w:t>本规程主要起草人：</w:t>
      </w:r>
      <w:r>
        <w:rPr>
          <w:rFonts w:hint="eastAsia" w:ascii="Calibri" w:hAnsi="宋体" w:cs="Times New Roman"/>
          <w:szCs w:val="22"/>
          <w:lang w:bidi="ar"/>
        </w:rPr>
        <w:t>许大伟、包玉山、郝贵宾、于海东、于元蕾、郭琳、刘鑫、孙秀梅、张兵、崔爱文、赵娜、郭林云、李雅宁、贾楠、万玉萌、张妍、伊日贵</w:t>
      </w:r>
      <w:r>
        <w:rPr>
          <w:rFonts w:hint="eastAsia" w:hAnsi="宋体"/>
        </w:rPr>
        <w:t>、刘丽萍、孟庆华、赵雪、彭建东、郑建超、乔春楠</w:t>
      </w:r>
      <w:r>
        <w:rPr>
          <w:rFonts w:hAnsi="宋体"/>
        </w:rPr>
        <w:t>、</w:t>
      </w:r>
      <w:r>
        <w:rPr>
          <w:rFonts w:hint="eastAsia" w:hAnsi="宋体"/>
        </w:rPr>
        <w:t>许晓亮、胡涛。</w:t>
      </w:r>
    </w:p>
    <w:p w14:paraId="2DA4DEB4">
      <w:pPr>
        <w:pStyle w:val="18"/>
        <w:ind w:left="210" w:leftChars="100" w:right="420" w:rightChars="200"/>
        <w:rPr>
          <w:rFonts w:hAnsi="宋体"/>
        </w:rPr>
      </w:pPr>
    </w:p>
    <w:p w14:paraId="0F267732">
      <w:pPr>
        <w:pStyle w:val="18"/>
        <w:rPr>
          <w:rFonts w:ascii="Times New Roman" w:hAnsi="Times New Roman"/>
        </w:rPr>
        <w:sectPr>
          <w:pgSz w:w="11906" w:h="16838"/>
          <w:pgMar w:top="1418" w:right="1797" w:bottom="1134" w:left="1797" w:header="1418" w:footer="1134" w:gutter="0"/>
          <w:pgNumType w:fmt="upperRoman" w:start="1"/>
          <w:cols w:space="720" w:num="1"/>
          <w:formProt w:val="0"/>
          <w:docGrid w:type="lines" w:linePitch="312" w:charSpace="0"/>
        </w:sectPr>
      </w:pPr>
    </w:p>
    <w:p w14:paraId="7B94F13E">
      <w:pPr>
        <w:pStyle w:val="27"/>
        <w:spacing w:before="156" w:beforeLines="50" w:after="156" w:afterLines="50"/>
        <w:ind w:left="357" w:firstLine="0" w:firstLineChars="0"/>
        <w:jc w:val="center"/>
        <w:rPr>
          <w:rFonts w:eastAsia="黑体"/>
          <w:sz w:val="32"/>
          <w:szCs w:val="32"/>
        </w:rPr>
      </w:pPr>
      <w:r>
        <w:rPr>
          <w:rFonts w:hint="eastAsia" w:eastAsia="黑体" w:cs="黑体"/>
          <w:sz w:val="32"/>
          <w:szCs w:val="32"/>
        </w:rPr>
        <w:t>北方地区 绿色食品露地秋葵生产操作规程</w:t>
      </w:r>
    </w:p>
    <w:p w14:paraId="30EE1B4C">
      <w:pPr>
        <w:rPr>
          <w:rFonts w:eastAsia="黑体" w:cs="黑体"/>
        </w:rPr>
      </w:pPr>
    </w:p>
    <w:p w14:paraId="1A40DBB3">
      <w:pPr>
        <w:pStyle w:val="23"/>
        <w:numPr>
          <w:ilvl w:val="0"/>
          <w:numId w:val="0"/>
        </w:numPr>
        <w:spacing w:beforeLines="0" w:afterLines="0"/>
      </w:pPr>
      <w:r>
        <w:rPr>
          <w:rFonts w:hint="eastAsia" w:ascii="Times New Roman"/>
        </w:rPr>
        <w:t>1 范围</w:t>
      </w:r>
    </w:p>
    <w:p w14:paraId="381FDD41">
      <w:pPr>
        <w:ind w:firstLine="420" w:firstLineChars="200"/>
        <w:rPr>
          <w:rFonts w:eastAsiaTheme="minorEastAsia" w:cstheme="minorEastAsia"/>
        </w:rPr>
      </w:pPr>
      <w:r>
        <w:rPr>
          <w:rFonts w:hint="eastAsia" w:eastAsiaTheme="minorEastAsia" w:cstheme="minorEastAsia"/>
        </w:rPr>
        <w:t>本规程规定了绿色食品露地秋葵的产地环境、栽培季节</w:t>
      </w:r>
      <w:r>
        <w:rPr>
          <w:rFonts w:eastAsiaTheme="minorEastAsia" w:cstheme="minorEastAsia"/>
        </w:rPr>
        <w:t>、</w:t>
      </w:r>
      <w:r>
        <w:rPr>
          <w:rFonts w:hint="eastAsia" w:eastAsiaTheme="minorEastAsia" w:cstheme="minorEastAsia"/>
        </w:rPr>
        <w:t>品种选择、</w:t>
      </w:r>
      <w:r>
        <w:rPr>
          <w:rFonts w:hint="eastAsia"/>
        </w:rPr>
        <w:t>整地与施肥、育苗、</w:t>
      </w:r>
      <w:r>
        <w:rPr>
          <w:rFonts w:hint="eastAsia" w:eastAsiaTheme="minorEastAsia" w:cstheme="minorEastAsia"/>
        </w:rPr>
        <w:t>播种或定植、田间管理、病虫害防治、采收、生产</w:t>
      </w:r>
      <w:r>
        <w:rPr>
          <w:rFonts w:eastAsiaTheme="minorEastAsia" w:cstheme="minorEastAsia"/>
        </w:rPr>
        <w:t>废弃物处理、储藏与运输、</w:t>
      </w:r>
      <w:r>
        <w:rPr>
          <w:rFonts w:hint="eastAsia" w:eastAsiaTheme="minorEastAsia" w:cstheme="minorEastAsia"/>
        </w:rPr>
        <w:t>生产记录与档案等。</w:t>
      </w:r>
    </w:p>
    <w:p w14:paraId="4DE4691A">
      <w:pPr>
        <w:ind w:firstLine="420" w:firstLineChars="200"/>
        <w:rPr>
          <w:rFonts w:eastAsiaTheme="minorEastAsia" w:cstheme="minorEastAsia"/>
        </w:rPr>
      </w:pPr>
      <w:r>
        <w:rPr>
          <w:rFonts w:hint="eastAsia" w:eastAsiaTheme="minorEastAsia" w:cstheme="minorEastAsia"/>
        </w:rPr>
        <w:t>本规程适用于</w:t>
      </w:r>
      <w:r>
        <w:rPr>
          <w:rFonts w:hint="eastAsia" w:cstheme="minorEastAsia"/>
        </w:rPr>
        <w:t>华北、环渤海及黄淮海、东北、西北地区的绿色食品</w:t>
      </w:r>
      <w:r>
        <w:rPr>
          <w:rFonts w:hint="eastAsia" w:eastAsiaTheme="minorEastAsia" w:cstheme="minorEastAsia"/>
        </w:rPr>
        <w:t>秋葵露地生产。</w:t>
      </w:r>
    </w:p>
    <w:p w14:paraId="5F9B5B64">
      <w:pPr>
        <w:pStyle w:val="23"/>
        <w:numPr>
          <w:ilvl w:val="0"/>
          <w:numId w:val="0"/>
        </w:numPr>
        <w:spacing w:beforeLines="0" w:afterLines="0"/>
      </w:pPr>
      <w:r>
        <w:rPr>
          <w:rFonts w:hint="eastAsia" w:ascii="Times New Roman"/>
        </w:rPr>
        <w:t>2 规范性引用文件</w:t>
      </w:r>
    </w:p>
    <w:p w14:paraId="5896FA89">
      <w:pPr>
        <w:ind w:firstLine="420" w:firstLineChars="200"/>
        <w:rPr>
          <w:rFonts w:eastAsiaTheme="minorEastAsia" w:cstheme="minorEastAsia"/>
        </w:rPr>
      </w:pPr>
      <w:bookmarkStart w:id="1" w:name="OLE_LINK16"/>
      <w:bookmarkStart w:id="2" w:name="OLE_LINK17"/>
      <w:r>
        <w:rPr>
          <w:rFonts w:hint="eastAsia" w:eastAsiaTheme="minorEastAsia" w:cstheme="minorEastAsia"/>
        </w:rPr>
        <w:t>下列文件中的内容通过文中的规范性引用而构成本规程必不可少的条款。其中，注日期的引用文件，仅该日期对应的版本适用于本规程；不注日期的引用文件，其最新版本（包括所有的修改单）适用于本规程。</w:t>
      </w:r>
    </w:p>
    <w:bookmarkEnd w:id="1"/>
    <w:bookmarkEnd w:id="2"/>
    <w:p w14:paraId="082EA18E">
      <w:pPr>
        <w:ind w:firstLine="420" w:firstLineChars="200"/>
        <w:rPr>
          <w:rFonts w:eastAsiaTheme="minorEastAsia" w:cstheme="minorEastAsia"/>
        </w:rPr>
      </w:pPr>
      <w:r>
        <w:rPr>
          <w:rFonts w:hint="eastAsia" w:eastAsiaTheme="minorEastAsia" w:cstheme="minorEastAsia"/>
        </w:rPr>
        <w:t>NY/T 391  绿色食品 产地环境质量</w:t>
      </w:r>
    </w:p>
    <w:p w14:paraId="66592943">
      <w:pPr>
        <w:ind w:firstLine="420" w:firstLineChars="200"/>
        <w:rPr>
          <w:rFonts w:eastAsiaTheme="minorEastAsia" w:cstheme="minorEastAsia"/>
        </w:rPr>
      </w:pPr>
      <w:r>
        <w:rPr>
          <w:rFonts w:hint="eastAsia" w:eastAsiaTheme="minorEastAsia" w:cstheme="minorEastAsia"/>
        </w:rPr>
        <w:t>NY/T 393  绿色食品 农药使用准则</w:t>
      </w:r>
    </w:p>
    <w:p w14:paraId="77275E37">
      <w:pPr>
        <w:ind w:firstLine="420" w:firstLineChars="200"/>
        <w:rPr>
          <w:rFonts w:eastAsiaTheme="minorEastAsia" w:cstheme="minorEastAsia"/>
        </w:rPr>
      </w:pPr>
      <w:r>
        <w:rPr>
          <w:rFonts w:hint="eastAsia" w:eastAsiaTheme="minorEastAsia" w:cstheme="minorEastAsia"/>
        </w:rPr>
        <w:t>NY/T 394  绿色食品 肥料使用准则</w:t>
      </w:r>
    </w:p>
    <w:p w14:paraId="1ABDF19D">
      <w:pPr>
        <w:ind w:firstLine="420" w:firstLineChars="200"/>
        <w:rPr>
          <w:rFonts w:eastAsiaTheme="minorEastAsia" w:cstheme="minorEastAsia"/>
        </w:rPr>
      </w:pPr>
      <w:bookmarkStart w:id="3" w:name="OLE_LINK14"/>
      <w:bookmarkStart w:id="4" w:name="OLE_LINK15"/>
      <w:r>
        <w:rPr>
          <w:rFonts w:hint="eastAsia" w:eastAsiaTheme="minorEastAsia"/>
        </w:rPr>
        <w:t xml:space="preserve">NY/T 1056 </w:t>
      </w:r>
      <w:bookmarkEnd w:id="3"/>
      <w:bookmarkEnd w:id="4"/>
      <w:r>
        <w:rPr>
          <w:rFonts w:hint="eastAsia" w:asciiTheme="minorEastAsia" w:hAnsiTheme="minorEastAsia" w:eastAsiaTheme="minorEastAsia" w:cstheme="minorEastAsia"/>
        </w:rPr>
        <w:t xml:space="preserve"> 绿色食品 储藏运输准则</w:t>
      </w:r>
    </w:p>
    <w:p w14:paraId="32D54C9B">
      <w:pPr>
        <w:ind w:firstLine="420" w:firstLineChars="200"/>
        <w:rPr>
          <w:rFonts w:eastAsiaTheme="minorEastAsia" w:cstheme="minorEastAsia"/>
        </w:rPr>
      </w:pPr>
      <w:r>
        <w:rPr>
          <w:rFonts w:hint="eastAsia" w:eastAsiaTheme="minorEastAsia" w:cstheme="minorEastAsia"/>
        </w:rPr>
        <w:t>NY/T 2118  蔬菜育苗基质</w:t>
      </w:r>
    </w:p>
    <w:p w14:paraId="63F5EF1B">
      <w:pPr>
        <w:ind w:firstLine="420" w:firstLineChars="200"/>
        <w:rPr>
          <w:color w:val="000000" w:themeColor="text1"/>
          <w14:textFill>
            <w14:solidFill>
              <w14:schemeClr w14:val="tx1"/>
            </w14:solidFill>
          </w14:textFill>
        </w:rPr>
      </w:pPr>
      <w:r>
        <w:rPr>
          <w:rFonts w:hint="eastAsia"/>
          <w:color w:val="000000" w:themeColor="text1"/>
          <w14:textFill>
            <w14:solidFill>
              <w14:schemeClr w14:val="tx1"/>
            </w14:solidFill>
          </w14:textFill>
        </w:rPr>
        <w:t xml:space="preserve">NY/T 3270 </w:t>
      </w:r>
      <w:r>
        <w:rPr>
          <w:color w:val="000000" w:themeColor="text1"/>
          <w14:textFill>
            <w14:solidFill>
              <w14:schemeClr w14:val="tx1"/>
            </w14:solidFill>
          </w14:textFill>
        </w:rPr>
        <w:t xml:space="preserve"> </w:t>
      </w:r>
      <w:r>
        <w:rPr>
          <w:rFonts w:hint="eastAsia"/>
          <w:color w:val="000000" w:themeColor="text1"/>
          <w14:textFill>
            <w14:solidFill>
              <w14:schemeClr w14:val="tx1"/>
            </w14:solidFill>
          </w14:textFill>
        </w:rPr>
        <w:t>黄秋葵等级规格</w:t>
      </w:r>
    </w:p>
    <w:p w14:paraId="0CBD1AE9">
      <w:pPr>
        <w:ind w:firstLine="420" w:firstLineChars="200"/>
        <w:rPr>
          <w:rFonts w:eastAsiaTheme="minorEastAsia" w:cstheme="minorEastAsia"/>
        </w:rPr>
      </w:pPr>
      <w:r>
        <w:rPr>
          <w:rFonts w:hint="eastAsia" w:eastAsiaTheme="minorEastAsia"/>
        </w:rPr>
        <w:t xml:space="preserve">NY/T 3570 </w:t>
      </w:r>
      <w:r>
        <w:rPr>
          <w:rFonts w:eastAsiaTheme="minorEastAsia"/>
        </w:rPr>
        <w:t xml:space="preserve"> </w:t>
      </w:r>
      <w:r>
        <w:rPr>
          <w:rFonts w:hint="eastAsia" w:asciiTheme="minorEastAsia" w:hAnsiTheme="minorEastAsia" w:eastAsiaTheme="minorEastAsia" w:cstheme="minorEastAsia"/>
        </w:rPr>
        <w:t>多年生蔬菜贮藏保鲜技术规程</w:t>
      </w:r>
    </w:p>
    <w:p w14:paraId="61EF14C3">
      <w:pPr>
        <w:ind w:firstLine="420" w:firstLineChars="200"/>
        <w:rPr>
          <w:rFonts w:eastAsiaTheme="minorEastAsia" w:cstheme="minorEastAsia"/>
        </w:rPr>
      </w:pPr>
      <w:r>
        <w:rPr>
          <w:rFonts w:hint="eastAsia" w:eastAsiaTheme="minorEastAsia" w:cstheme="minorEastAsia"/>
        </w:rPr>
        <w:t>NY/T 4203  塑料育苗穴盘</w:t>
      </w:r>
    </w:p>
    <w:p w14:paraId="7E882864">
      <w:pPr>
        <w:pStyle w:val="23"/>
        <w:numPr>
          <w:ilvl w:val="0"/>
          <w:numId w:val="0"/>
        </w:numPr>
        <w:spacing w:beforeLines="0" w:afterLines="0"/>
      </w:pPr>
      <w:r>
        <w:rPr>
          <w:rFonts w:hint="eastAsia" w:ascii="Times New Roman"/>
        </w:rPr>
        <w:t>3 产地环境</w:t>
      </w:r>
    </w:p>
    <w:p w14:paraId="49F3201E">
      <w:pPr>
        <w:ind w:firstLine="420" w:firstLineChars="200"/>
      </w:pPr>
      <w:r>
        <w:rPr>
          <w:rFonts w:hint="eastAsia"/>
        </w:rPr>
        <w:t>生产区域应远离污染源，地势平坦，排灌方便、通风向阳。土壤为耕层深厚、土质疏松肥沃的沙壤土、壤土或轻粘壤土，基地环境应符合</w:t>
      </w:r>
      <w:r>
        <w:t xml:space="preserve"> NY/T</w:t>
      </w:r>
      <w:r>
        <w:rPr>
          <w:rFonts w:hint="eastAsia"/>
        </w:rPr>
        <w:t xml:space="preserve"> </w:t>
      </w:r>
      <w:r>
        <w:t>391</w:t>
      </w:r>
      <w:r>
        <w:rPr>
          <w:rFonts w:hint="eastAsia"/>
        </w:rPr>
        <w:t>的规定。</w:t>
      </w:r>
    </w:p>
    <w:p w14:paraId="578FD47B">
      <w:pPr>
        <w:pStyle w:val="23"/>
        <w:numPr>
          <w:ilvl w:val="0"/>
          <w:numId w:val="0"/>
        </w:numPr>
        <w:spacing w:beforeLines="0" w:afterLines="0"/>
        <w:rPr>
          <w:rFonts w:ascii="Times New Roman"/>
        </w:rPr>
      </w:pPr>
      <w:r>
        <w:rPr>
          <w:rFonts w:hint="eastAsia" w:ascii="Times New Roman"/>
        </w:rPr>
        <w:t>4 栽培季节</w:t>
      </w:r>
    </w:p>
    <w:p w14:paraId="6BEAE1BC">
      <w:pPr>
        <w:ind w:firstLine="420" w:firstLineChars="200"/>
      </w:pPr>
      <w:r>
        <w:rPr>
          <w:rFonts w:hint="eastAsia" w:asciiTheme="minorEastAsia" w:hAnsiTheme="minorEastAsia" w:cstheme="minorEastAsia"/>
        </w:rPr>
        <w:t>一般5月上中旬露地播种</w:t>
      </w:r>
      <w:r>
        <w:rPr>
          <w:rFonts w:asciiTheme="minorEastAsia" w:hAnsiTheme="minorEastAsia" w:cstheme="minorEastAsia"/>
        </w:rPr>
        <w:t>或定植</w:t>
      </w:r>
      <w:r>
        <w:rPr>
          <w:rFonts w:hint="eastAsia" w:asciiTheme="minorEastAsia" w:hAnsiTheme="minorEastAsia" w:cstheme="minorEastAsia"/>
        </w:rPr>
        <w:t>。</w:t>
      </w:r>
    </w:p>
    <w:p w14:paraId="10CD8CE5">
      <w:pPr>
        <w:pStyle w:val="23"/>
        <w:numPr>
          <w:ilvl w:val="0"/>
          <w:numId w:val="0"/>
        </w:numPr>
        <w:spacing w:beforeLines="0" w:afterLines="0"/>
        <w:rPr>
          <w:rFonts w:ascii="Times New Roman"/>
        </w:rPr>
      </w:pPr>
      <w:r>
        <w:rPr>
          <w:rFonts w:hint="eastAsia"/>
        </w:rPr>
        <w:t xml:space="preserve">5 </w:t>
      </w:r>
      <w:r>
        <w:rPr>
          <w:rFonts w:hint="eastAsia" w:ascii="Times New Roman"/>
        </w:rPr>
        <w:t>品种选择</w:t>
      </w:r>
    </w:p>
    <w:p w14:paraId="30DF99D3">
      <w:pPr>
        <w:ind w:firstLine="420" w:firstLineChars="200"/>
      </w:pPr>
      <w:r>
        <w:rPr>
          <w:rFonts w:hint="eastAsia" w:eastAsiaTheme="minorEastAsia" w:cstheme="minorEastAsia"/>
        </w:rPr>
        <w:t>应根据当地气候和栽培目的，选择优质、丰产、抗病和</w:t>
      </w:r>
      <w:r>
        <w:rPr>
          <w:rFonts w:eastAsiaTheme="minorEastAsia" w:cstheme="minorEastAsia"/>
        </w:rPr>
        <w:t>符合目标</w:t>
      </w:r>
      <w:r>
        <w:rPr>
          <w:rFonts w:hint="eastAsia" w:eastAsiaTheme="minorEastAsia" w:cstheme="minorEastAsia"/>
        </w:rPr>
        <w:t>市场需求的品种。如：绿五星、</w:t>
      </w:r>
      <w:r>
        <w:rPr>
          <w:rFonts w:hint="eastAsia" w:asciiTheme="minorEastAsia" w:hAnsiTheme="minorEastAsia" w:cstheme="minorEastAsia"/>
        </w:rPr>
        <w:t>东京</w:t>
      </w:r>
      <w:r>
        <w:rPr>
          <w:rFonts w:hint="eastAsia" w:eastAsiaTheme="minorEastAsia" w:cstheme="minorEastAsia"/>
        </w:rPr>
        <w:t>五角、五福、新东京5号等。</w:t>
      </w:r>
    </w:p>
    <w:p w14:paraId="738C25C9">
      <w:pPr>
        <w:pStyle w:val="23"/>
        <w:numPr>
          <w:ilvl w:val="0"/>
          <w:numId w:val="0"/>
        </w:numPr>
        <w:spacing w:beforeLines="0" w:afterLines="0"/>
        <w:rPr>
          <w:rFonts w:ascii="Times New Roman" w:eastAsiaTheme="minorEastAsia" w:cstheme="minorEastAsia"/>
        </w:rPr>
      </w:pPr>
      <w:r>
        <w:rPr>
          <w:rFonts w:hint="eastAsia" w:ascii="Times New Roman"/>
        </w:rPr>
        <w:t>6 整地与施肥</w:t>
      </w:r>
    </w:p>
    <w:p w14:paraId="37E2C04D">
      <w:pPr>
        <w:rPr>
          <w:rFonts w:cstheme="minorEastAsia"/>
        </w:rPr>
      </w:pPr>
      <w:r>
        <w:rPr>
          <w:rFonts w:hint="eastAsia" w:eastAsia="黑体" w:cs="黑体"/>
          <w:kern w:val="0"/>
        </w:rPr>
        <w:t>6.1 整地施肥</w:t>
      </w:r>
    </w:p>
    <w:p w14:paraId="40BAEDA4">
      <w:pPr>
        <w:ind w:firstLine="420" w:firstLineChars="200"/>
        <w:rPr>
          <w:rFonts w:eastAsiaTheme="minorEastAsia" w:cstheme="minorEastAsia"/>
        </w:rPr>
      </w:pPr>
      <w:r>
        <w:rPr>
          <w:rFonts w:hint="eastAsia" w:eastAsiaTheme="minorEastAsia" w:cstheme="minorEastAsia"/>
        </w:rPr>
        <w:t>整地前将肥料铺撒地面，对土地进行深耕，耕深达30cm以上，将肥料翻入土中，耙细拌匀，每亩均匀施入充分腐熟的农家肥2500</w:t>
      </w:r>
      <w:r>
        <w:rPr>
          <w:rFonts w:hint="eastAsia"/>
        </w:rPr>
        <w:t>～</w:t>
      </w:r>
      <w:r>
        <w:rPr>
          <w:rFonts w:hint="eastAsia" w:eastAsiaTheme="minorEastAsia" w:cstheme="minorEastAsia"/>
        </w:rPr>
        <w:t>3000kg或生物有机肥800</w:t>
      </w:r>
      <w:r>
        <w:rPr>
          <w:rFonts w:hint="eastAsia"/>
        </w:rPr>
        <w:t>～1000kg</w:t>
      </w:r>
      <w:r>
        <w:rPr>
          <w:rFonts w:hint="eastAsia" w:eastAsiaTheme="minorEastAsia" w:cstheme="minorEastAsia"/>
        </w:rPr>
        <w:t>，磷酸二铵 15 kg</w:t>
      </w:r>
      <w:r>
        <w:rPr>
          <w:rFonts w:hint="eastAsia"/>
        </w:rPr>
        <w:t>～</w:t>
      </w:r>
      <w:r>
        <w:rPr>
          <w:rFonts w:hint="eastAsia" w:eastAsiaTheme="minorEastAsia" w:cstheme="minorEastAsia"/>
        </w:rPr>
        <w:t>20 kg，草木灰 100 kg</w:t>
      </w:r>
      <w:r>
        <w:rPr>
          <w:rFonts w:hint="eastAsia" w:eastAsiaTheme="minorEastAsia"/>
        </w:rPr>
        <w:t>～</w:t>
      </w:r>
      <w:r>
        <w:rPr>
          <w:rFonts w:hint="eastAsia" w:eastAsiaTheme="minorEastAsia" w:cstheme="minorEastAsia"/>
        </w:rPr>
        <w:t>150 kg或硫酸钾 15 kg。肥料应符合 NY/T</w:t>
      </w:r>
      <w:r>
        <w:rPr>
          <w:rFonts w:hint="eastAsia" w:cstheme="minorEastAsia"/>
        </w:rPr>
        <w:t xml:space="preserve">394 </w:t>
      </w:r>
      <w:r>
        <w:rPr>
          <w:rFonts w:hint="eastAsia" w:eastAsiaTheme="minorEastAsia" w:cstheme="minorEastAsia"/>
        </w:rPr>
        <w:t>的规定。</w:t>
      </w:r>
    </w:p>
    <w:p w14:paraId="66998799">
      <w:pPr>
        <w:rPr>
          <w:rFonts w:eastAsia="黑体" w:cs="黑体"/>
          <w:kern w:val="0"/>
        </w:rPr>
      </w:pPr>
      <w:r>
        <w:rPr>
          <w:rFonts w:hint="eastAsia" w:eastAsia="黑体" w:cs="黑体"/>
          <w:kern w:val="0"/>
        </w:rPr>
        <w:t>6.2 平畦或起垄</w:t>
      </w:r>
    </w:p>
    <w:p w14:paraId="3FF3925C">
      <w:pPr>
        <w:ind w:firstLine="420" w:firstLineChars="200"/>
        <w:rPr>
          <w:rFonts w:eastAsiaTheme="minorEastAsia" w:cstheme="minorEastAsia"/>
        </w:rPr>
      </w:pPr>
      <w:r>
        <w:rPr>
          <w:rFonts w:hint="eastAsia" w:eastAsiaTheme="minorEastAsia" w:cstheme="minorEastAsia"/>
        </w:rPr>
        <w:t>平畦，行距为60cm～80cm，</w:t>
      </w:r>
      <w:r>
        <w:rPr>
          <w:rFonts w:hint="eastAsia"/>
          <w:color w:val="000000" w:themeColor="text1"/>
          <w14:textFill>
            <w14:solidFill>
              <w14:schemeClr w14:val="tx1"/>
            </w14:solidFill>
          </w14:textFill>
        </w:rPr>
        <w:t>畦</w:t>
      </w:r>
      <w:r>
        <w:rPr>
          <w:rFonts w:hint="eastAsia" w:eastAsiaTheme="minorEastAsia" w:cstheme="minorEastAsia"/>
        </w:rPr>
        <w:t>面覆膜，提倡使用生物降解地膜。起垄，垄宽</w:t>
      </w:r>
      <w:r>
        <w:rPr>
          <w:rFonts w:eastAsiaTheme="minorEastAsia" w:cstheme="minorEastAsia"/>
        </w:rPr>
        <w:t>40</w:t>
      </w:r>
      <w:r>
        <w:rPr>
          <w:rFonts w:hint="eastAsia" w:eastAsiaTheme="minorEastAsia" w:cstheme="minorEastAsia"/>
        </w:rPr>
        <w:t>cm，垄间距60cm，垄高5cm～10cm。有利于秋葵宽窄行种植和管理采收，并保证排水通畅，田不积水，苗不受渍。</w:t>
      </w:r>
    </w:p>
    <w:p w14:paraId="0C62E474">
      <w:pPr>
        <w:pStyle w:val="23"/>
        <w:numPr>
          <w:ilvl w:val="0"/>
          <w:numId w:val="0"/>
        </w:numPr>
        <w:spacing w:beforeLines="0" w:afterLines="0"/>
      </w:pPr>
      <w:r>
        <w:rPr>
          <w:rFonts w:hint="eastAsia"/>
        </w:rPr>
        <w:t xml:space="preserve">7 </w:t>
      </w:r>
      <w:r>
        <w:rPr>
          <w:rFonts w:hint="eastAsia" w:ascii="Times New Roman"/>
        </w:rPr>
        <w:t>育苗</w:t>
      </w:r>
    </w:p>
    <w:p w14:paraId="25FD2339">
      <w:pPr>
        <w:rPr>
          <w:rFonts w:eastAsia="黑体" w:cs="黑体"/>
          <w:kern w:val="0"/>
        </w:rPr>
      </w:pPr>
      <w:r>
        <w:rPr>
          <w:rFonts w:hint="eastAsia" w:eastAsia="黑体" w:cs="黑体"/>
          <w:kern w:val="0"/>
        </w:rPr>
        <w:t>7.1 种子处理</w:t>
      </w:r>
    </w:p>
    <w:p w14:paraId="2D2D8C21">
      <w:pPr>
        <w:ind w:firstLine="420" w:firstLineChars="200"/>
        <w:rPr>
          <w:rFonts w:eastAsiaTheme="minorEastAsia" w:cstheme="minorEastAsia"/>
        </w:rPr>
      </w:pPr>
      <w:r>
        <w:rPr>
          <w:rFonts w:hint="eastAsia" w:eastAsiaTheme="minorEastAsia" w:cstheme="minorEastAsia"/>
        </w:rPr>
        <w:t>选择饱满、无病虫害的种子。播种前用5</w:t>
      </w:r>
      <w:r>
        <w:rPr>
          <w:rFonts w:eastAsiaTheme="minorEastAsia"/>
        </w:rPr>
        <w:t>0℃～55℃</w:t>
      </w:r>
      <w:r>
        <w:rPr>
          <w:rFonts w:hint="eastAsia" w:eastAsiaTheme="minorEastAsia" w:cstheme="minorEastAsia"/>
        </w:rPr>
        <w:t>温水浸泡25min～30min，搅拌降温至室温，浸泡20h～24h，使种子充分吸水。浸泡后捞出洗净，用湿布包好，放在25</w:t>
      </w:r>
      <w:r>
        <w:rPr>
          <w:rFonts w:eastAsiaTheme="minorEastAsia" w:cstheme="minorEastAsia"/>
        </w:rPr>
        <w:t>℃</w:t>
      </w:r>
      <w:r>
        <w:rPr>
          <w:rFonts w:hint="eastAsia" w:eastAsiaTheme="minorEastAsia" w:cstheme="minorEastAsia"/>
        </w:rPr>
        <w:t>～3</w:t>
      </w:r>
      <w:r>
        <w:rPr>
          <w:rFonts w:eastAsiaTheme="minorEastAsia"/>
        </w:rPr>
        <w:t>0℃</w:t>
      </w:r>
      <w:r>
        <w:rPr>
          <w:rFonts w:hint="eastAsia" w:eastAsiaTheme="minorEastAsia" w:cstheme="minorEastAsia"/>
        </w:rPr>
        <w:t>的环境下催芽，</w:t>
      </w:r>
      <w:r>
        <w:rPr>
          <w:rFonts w:eastAsiaTheme="minorEastAsia" w:cstheme="minorEastAsia"/>
        </w:rPr>
        <w:t>约</w:t>
      </w:r>
      <w:r>
        <w:rPr>
          <w:rFonts w:hint="eastAsia" w:eastAsiaTheme="minorEastAsia" w:cstheme="minorEastAsia"/>
        </w:rPr>
        <w:t>60%的种子</w:t>
      </w:r>
      <w:r>
        <w:rPr>
          <w:rFonts w:eastAsiaTheme="minorEastAsia" w:cstheme="minorEastAsia"/>
        </w:rPr>
        <w:t>露白后</w:t>
      </w:r>
      <w:r>
        <w:rPr>
          <w:rFonts w:hint="eastAsia" w:eastAsiaTheme="minorEastAsia" w:cstheme="minorEastAsia"/>
        </w:rPr>
        <w:t>即可</w:t>
      </w:r>
      <w:r>
        <w:rPr>
          <w:rFonts w:eastAsiaTheme="minorEastAsia" w:cstheme="minorEastAsia"/>
        </w:rPr>
        <w:t>播种。</w:t>
      </w:r>
    </w:p>
    <w:p w14:paraId="0197E739">
      <w:pPr>
        <w:rPr>
          <w:rFonts w:eastAsia="黑体" w:cs="黑体"/>
          <w:kern w:val="0"/>
        </w:rPr>
      </w:pPr>
      <w:r>
        <w:rPr>
          <w:rFonts w:hint="eastAsia" w:eastAsiaTheme="minorEastAsia" w:cstheme="minorEastAsia"/>
        </w:rPr>
        <w:t>7.2</w:t>
      </w:r>
      <w:r>
        <w:rPr>
          <w:rFonts w:eastAsiaTheme="minorEastAsia" w:cstheme="minorEastAsia"/>
        </w:rPr>
        <w:t xml:space="preserve"> </w:t>
      </w:r>
      <w:r>
        <w:rPr>
          <w:rFonts w:hint="eastAsia" w:eastAsia="黑体" w:cs="黑体"/>
          <w:kern w:val="0"/>
        </w:rPr>
        <w:t>育苗</w:t>
      </w:r>
    </w:p>
    <w:p w14:paraId="06FB1D2A">
      <w:pPr>
        <w:rPr>
          <w:rFonts w:eastAsiaTheme="minorEastAsia" w:cstheme="minorEastAsia"/>
        </w:rPr>
      </w:pPr>
      <w:r>
        <w:rPr>
          <w:rFonts w:hint="eastAsia" w:eastAsia="黑体" w:cs="黑体"/>
          <w:kern w:val="0"/>
        </w:rPr>
        <w:t>7.2</w:t>
      </w:r>
      <w:r>
        <w:rPr>
          <w:rFonts w:eastAsia="黑体" w:cs="黑体"/>
          <w:kern w:val="0"/>
        </w:rPr>
        <w:t>.1</w:t>
      </w:r>
      <w:r>
        <w:rPr>
          <w:rFonts w:hint="eastAsia" w:eastAsia="黑体" w:cs="黑体"/>
          <w:kern w:val="0"/>
        </w:rPr>
        <w:t xml:space="preserve"> 装盘播种</w:t>
      </w:r>
    </w:p>
    <w:p w14:paraId="43F5CCE7">
      <w:pPr>
        <w:ind w:firstLine="420" w:firstLineChars="200"/>
        <w:rPr>
          <w:rFonts w:eastAsiaTheme="minorEastAsia" w:cstheme="minorEastAsia"/>
        </w:rPr>
      </w:pPr>
      <w:r>
        <w:rPr>
          <w:rFonts w:hint="eastAsia" w:eastAsiaTheme="minorEastAsia" w:cstheme="minorEastAsia"/>
        </w:rPr>
        <w:t>定植前30d</w:t>
      </w:r>
      <w:r>
        <w:rPr>
          <w:rFonts w:hint="eastAsia"/>
        </w:rPr>
        <w:t>～35d，在温室中</w:t>
      </w:r>
      <w:r>
        <w:rPr>
          <w:rFonts w:hint="eastAsia" w:eastAsiaTheme="minorEastAsia" w:cstheme="minorEastAsia"/>
        </w:rPr>
        <w:t>使用穴盘育苗，育苗穴盘应符合NY/T 4203的规定。将基质装入</w:t>
      </w:r>
      <w:r>
        <w:rPr>
          <w:rFonts w:hint="eastAsia" w:cstheme="minorEastAsia"/>
        </w:rPr>
        <w:t>育苗</w:t>
      </w:r>
      <w:r>
        <w:rPr>
          <w:rFonts w:hint="eastAsia" w:eastAsiaTheme="minorEastAsia" w:cstheme="minorEastAsia"/>
        </w:rPr>
        <w:t>穴盘，育苗基质应符合 NY/T 2118的规定。每穴播种1粒，覆土1.5 cm</w:t>
      </w:r>
      <w:r>
        <w:rPr>
          <w:rFonts w:hint="eastAsia"/>
        </w:rPr>
        <w:t>～</w:t>
      </w:r>
      <w:r>
        <w:rPr>
          <w:rFonts w:hint="eastAsia" w:eastAsiaTheme="minorEastAsia" w:cstheme="minorEastAsia"/>
        </w:rPr>
        <w:t>2 cm，再覆塑料薄膜保温保湿，待60%幼苗出土后，去除塑料薄膜。</w:t>
      </w:r>
    </w:p>
    <w:p w14:paraId="245DFDD1">
      <w:pPr>
        <w:rPr>
          <w:rFonts w:eastAsia="黑体" w:cs="黑体"/>
          <w:kern w:val="0"/>
        </w:rPr>
      </w:pPr>
      <w:r>
        <w:rPr>
          <w:rFonts w:hint="eastAsia" w:eastAsia="黑体" w:cs="黑体"/>
          <w:kern w:val="0"/>
        </w:rPr>
        <w:t>7.</w:t>
      </w:r>
      <w:r>
        <w:rPr>
          <w:rFonts w:eastAsia="黑体" w:cs="黑体"/>
          <w:kern w:val="0"/>
        </w:rPr>
        <w:t>2.2</w:t>
      </w:r>
      <w:r>
        <w:rPr>
          <w:rFonts w:hint="eastAsia" w:eastAsia="黑体" w:cs="黑体"/>
          <w:kern w:val="0"/>
        </w:rPr>
        <w:t xml:space="preserve"> 温度水分管理</w:t>
      </w:r>
    </w:p>
    <w:p w14:paraId="6443984C">
      <w:pPr>
        <w:ind w:firstLine="420" w:firstLineChars="200"/>
        <w:rPr>
          <w:rFonts w:eastAsiaTheme="minorEastAsia" w:cstheme="minorEastAsia"/>
          <w:color w:val="FF0000"/>
        </w:rPr>
      </w:pPr>
      <w:r>
        <w:rPr>
          <w:rFonts w:hint="eastAsia" w:eastAsiaTheme="minorEastAsia" w:cstheme="minorEastAsia"/>
        </w:rPr>
        <w:t xml:space="preserve">温室内白天适宜温度为25 </w:t>
      </w:r>
      <w:r>
        <w:rPr>
          <w:rFonts w:eastAsiaTheme="minorEastAsia"/>
        </w:rPr>
        <w:t>℃</w:t>
      </w:r>
      <w:r>
        <w:t>～</w:t>
      </w:r>
      <w:r>
        <w:rPr>
          <w:rFonts w:eastAsiaTheme="minorEastAsia"/>
        </w:rPr>
        <w:t>30 ℃</w:t>
      </w:r>
      <w:r>
        <w:rPr>
          <w:rFonts w:hint="eastAsia" w:eastAsiaTheme="minorEastAsia" w:cstheme="minorEastAsia"/>
        </w:rPr>
        <w:t>，夜温</w:t>
      </w:r>
      <w:r>
        <w:rPr>
          <w:rFonts w:eastAsiaTheme="minorEastAsia"/>
        </w:rPr>
        <w:t>12℃～15℃</w:t>
      </w:r>
      <w:r>
        <w:rPr>
          <w:rFonts w:hint="eastAsia" w:eastAsiaTheme="minorEastAsia" w:cstheme="minorEastAsia"/>
        </w:rPr>
        <w:t>。播种后要浇透水，保持土壤湿润，适时每2 d</w:t>
      </w:r>
      <w:r>
        <w:rPr>
          <w:rFonts w:hint="eastAsia" w:eastAsiaTheme="minorEastAsia"/>
        </w:rPr>
        <w:t>～</w:t>
      </w:r>
      <w:r>
        <w:rPr>
          <w:rFonts w:hint="eastAsia" w:eastAsiaTheme="minorEastAsia" w:cstheme="minorEastAsia"/>
        </w:rPr>
        <w:t>3 d浇一次水。</w:t>
      </w:r>
    </w:p>
    <w:p w14:paraId="59BF4B35">
      <w:pPr>
        <w:rPr>
          <w:rFonts w:eastAsiaTheme="minorEastAsia" w:cstheme="minorEastAsia"/>
        </w:rPr>
      </w:pPr>
      <w:r>
        <w:rPr>
          <w:rFonts w:hint="eastAsia" w:eastAsia="黑体" w:cs="黑体"/>
          <w:kern w:val="0"/>
        </w:rPr>
        <w:t>7.</w:t>
      </w:r>
      <w:r>
        <w:rPr>
          <w:rFonts w:eastAsia="黑体" w:cs="黑体"/>
          <w:kern w:val="0"/>
        </w:rPr>
        <w:t>2.3</w:t>
      </w:r>
      <w:r>
        <w:rPr>
          <w:rFonts w:hint="eastAsia" w:eastAsia="黑体" w:cs="黑体"/>
          <w:kern w:val="0"/>
        </w:rPr>
        <w:t xml:space="preserve"> 壮苗标准</w:t>
      </w:r>
    </w:p>
    <w:p w14:paraId="156F8A4F">
      <w:pPr>
        <w:ind w:firstLine="420" w:firstLineChars="200"/>
        <w:rPr>
          <w:rFonts w:eastAsiaTheme="minorEastAsia" w:cstheme="minorEastAsia"/>
        </w:rPr>
      </w:pPr>
      <w:r>
        <w:rPr>
          <w:rFonts w:hint="eastAsia" w:eastAsiaTheme="minorEastAsia" w:cstheme="minorEastAsia"/>
        </w:rPr>
        <w:t>3 片</w:t>
      </w:r>
      <w:r>
        <w:rPr>
          <w:rFonts w:hint="eastAsia"/>
        </w:rPr>
        <w:t>～</w:t>
      </w:r>
      <w:r>
        <w:rPr>
          <w:rFonts w:hint="eastAsia" w:eastAsiaTheme="minorEastAsia" w:cstheme="minorEastAsia"/>
        </w:rPr>
        <w:t>4 片真叶，苗高10 cm</w:t>
      </w:r>
      <w:r>
        <w:rPr>
          <w:rFonts w:hint="eastAsia" w:eastAsiaTheme="minorEastAsia"/>
        </w:rPr>
        <w:t>～</w:t>
      </w:r>
      <w:r>
        <w:rPr>
          <w:rFonts w:hint="eastAsia" w:eastAsiaTheme="minorEastAsia" w:cstheme="minorEastAsia"/>
        </w:rPr>
        <w:t>15 cm，茎粗0.6 cm</w:t>
      </w:r>
      <w:r>
        <w:rPr>
          <w:rFonts w:hint="eastAsia"/>
        </w:rPr>
        <w:t>～</w:t>
      </w:r>
      <w:r>
        <w:rPr>
          <w:rFonts w:hint="eastAsia" w:eastAsiaTheme="minorEastAsia" w:cstheme="minorEastAsia"/>
        </w:rPr>
        <w:t>1.5 cm，叶片较大而肥厚，无病虫害。</w:t>
      </w:r>
    </w:p>
    <w:p w14:paraId="171D6207">
      <w:pPr>
        <w:rPr>
          <w:rFonts w:eastAsia="黑体" w:cs="黑体"/>
          <w:kern w:val="0"/>
        </w:rPr>
      </w:pPr>
      <w:r>
        <w:rPr>
          <w:rFonts w:hint="eastAsia" w:eastAsia="黑体" w:cs="黑体"/>
          <w:kern w:val="0"/>
        </w:rPr>
        <w:t>7.</w:t>
      </w:r>
      <w:r>
        <w:rPr>
          <w:rFonts w:eastAsia="黑体" w:cs="黑体"/>
          <w:kern w:val="0"/>
        </w:rPr>
        <w:t>2.4</w:t>
      </w:r>
      <w:r>
        <w:rPr>
          <w:rFonts w:hint="eastAsia" w:eastAsia="黑体" w:cs="黑体"/>
          <w:kern w:val="0"/>
        </w:rPr>
        <w:t xml:space="preserve"> 炼苗</w:t>
      </w:r>
    </w:p>
    <w:p w14:paraId="13F76461">
      <w:pPr>
        <w:ind w:firstLine="420" w:firstLineChars="200"/>
        <w:rPr>
          <w:rFonts w:eastAsiaTheme="minorEastAsia" w:cstheme="minorEastAsia"/>
        </w:rPr>
      </w:pPr>
      <w:r>
        <w:rPr>
          <w:rFonts w:hint="eastAsia" w:eastAsiaTheme="minorEastAsia" w:cstheme="minorEastAsia"/>
        </w:rPr>
        <w:t>在定植前7d</w:t>
      </w:r>
      <w:r>
        <w:rPr>
          <w:rFonts w:hint="eastAsia" w:eastAsiaTheme="minorEastAsia"/>
        </w:rPr>
        <w:t>～</w:t>
      </w:r>
      <w:r>
        <w:rPr>
          <w:rFonts w:hint="eastAsia" w:eastAsiaTheme="minorEastAsia" w:cstheme="minorEastAsia"/>
        </w:rPr>
        <w:t>10d进行炼苗，炼苗前期白天打开温室通风口，夜间关闭通风口，在炼苗后期昼夜打开温室通风口炼苗。</w:t>
      </w:r>
    </w:p>
    <w:p w14:paraId="7A3CC0AD">
      <w:pPr>
        <w:pStyle w:val="23"/>
        <w:numPr>
          <w:ilvl w:val="0"/>
          <w:numId w:val="0"/>
        </w:numPr>
        <w:spacing w:beforeLines="0" w:afterLines="0"/>
      </w:pPr>
      <w:r>
        <w:rPr>
          <w:rFonts w:hint="eastAsia"/>
        </w:rPr>
        <w:t xml:space="preserve">8 </w:t>
      </w:r>
      <w:r>
        <w:rPr>
          <w:rFonts w:hint="eastAsia" w:ascii="Times New Roman"/>
        </w:rPr>
        <w:t>播种</w:t>
      </w:r>
      <w:r>
        <w:rPr>
          <w:rFonts w:hint="eastAsia"/>
        </w:rPr>
        <w:t>或定植</w:t>
      </w:r>
    </w:p>
    <w:p w14:paraId="0AC56592">
      <w:pPr>
        <w:ind w:firstLine="420" w:firstLineChars="200"/>
        <w:rPr>
          <w:rFonts w:eastAsia="黑体" w:cs="黑体"/>
          <w:kern w:val="0"/>
        </w:rPr>
      </w:pPr>
      <w:r>
        <w:rPr>
          <w:rFonts w:hint="eastAsia" w:cstheme="minorEastAsia"/>
        </w:rPr>
        <w:t>一般在地温稳定至</w:t>
      </w:r>
      <w:r>
        <w:t>12℃</w:t>
      </w:r>
      <w:r>
        <w:rPr>
          <w:rFonts w:hint="eastAsia" w:cstheme="minorEastAsia"/>
        </w:rPr>
        <w:t>以上时进行播种或定植。</w:t>
      </w:r>
    </w:p>
    <w:p w14:paraId="21AD110D">
      <w:pPr>
        <w:rPr>
          <w:rFonts w:eastAsia="黑体" w:cs="黑体"/>
          <w:kern w:val="0"/>
        </w:rPr>
      </w:pPr>
      <w:r>
        <w:rPr>
          <w:rFonts w:hint="eastAsia" w:eastAsia="黑体" w:cs="黑体"/>
          <w:kern w:val="0"/>
        </w:rPr>
        <w:t>8.1直播</w:t>
      </w:r>
    </w:p>
    <w:p w14:paraId="60E96439">
      <w:pPr>
        <w:ind w:firstLine="420" w:firstLineChars="200"/>
        <w:rPr>
          <w:rFonts w:eastAsiaTheme="minorEastAsia" w:cstheme="minorEastAsia"/>
        </w:rPr>
      </w:pPr>
      <w:r>
        <w:rPr>
          <w:rFonts w:hint="eastAsia" w:eastAsiaTheme="minorEastAsia" w:cstheme="minorEastAsia"/>
        </w:rPr>
        <w:t>将处理好的种子按照株行距为40 cm～45cm× 60 cm</w:t>
      </w:r>
      <w:r>
        <w:rPr>
          <w:rFonts w:hint="eastAsia"/>
        </w:rPr>
        <w:t>～</w:t>
      </w:r>
      <w:r>
        <w:rPr>
          <w:rFonts w:hint="eastAsia" w:eastAsiaTheme="minorEastAsia" w:cstheme="minorEastAsia"/>
        </w:rPr>
        <w:t>65 cm进行穴播，每穴播2 粒</w:t>
      </w:r>
      <w:r>
        <w:rPr>
          <w:rFonts w:hint="eastAsia" w:eastAsiaTheme="minorEastAsia"/>
        </w:rPr>
        <w:t>～</w:t>
      </w:r>
      <w:r>
        <w:rPr>
          <w:rFonts w:hint="eastAsia" w:eastAsiaTheme="minorEastAsia" w:cstheme="minorEastAsia"/>
        </w:rPr>
        <w:t>3 粒</w:t>
      </w:r>
      <w:r>
        <w:rPr>
          <w:rFonts w:hint="eastAsia" w:cstheme="minorEastAsia"/>
        </w:rPr>
        <w:t>种子</w:t>
      </w:r>
      <w:r>
        <w:rPr>
          <w:rFonts w:hint="eastAsia" w:eastAsiaTheme="minorEastAsia" w:cstheme="minorEastAsia"/>
        </w:rPr>
        <w:t>，播种后及时浇水，覆土 2 cm</w:t>
      </w:r>
      <w:r>
        <w:rPr>
          <w:rFonts w:hint="eastAsia" w:eastAsiaTheme="minorEastAsia"/>
        </w:rPr>
        <w:t>～</w:t>
      </w:r>
      <w:r>
        <w:rPr>
          <w:rFonts w:hint="eastAsia" w:eastAsiaTheme="minorEastAsia" w:cstheme="minorEastAsia"/>
        </w:rPr>
        <w:t>3 cm。</w:t>
      </w:r>
    </w:p>
    <w:p w14:paraId="2D2849F3">
      <w:pPr>
        <w:rPr>
          <w:rFonts w:eastAsia="黑体" w:cs="黑体"/>
          <w:kern w:val="0"/>
        </w:rPr>
      </w:pPr>
      <w:r>
        <w:rPr>
          <w:rFonts w:hint="eastAsia" w:eastAsia="黑体" w:cs="黑体"/>
          <w:kern w:val="0"/>
        </w:rPr>
        <w:t>8.2 定植</w:t>
      </w:r>
    </w:p>
    <w:p w14:paraId="1C0F0D5A">
      <w:pPr>
        <w:ind w:firstLine="420" w:firstLineChars="200"/>
        <w:rPr>
          <w:rFonts w:eastAsiaTheme="minorEastAsia" w:cstheme="minorEastAsia"/>
        </w:rPr>
      </w:pPr>
      <w:r>
        <w:rPr>
          <w:rFonts w:hint="eastAsia" w:eastAsiaTheme="minorEastAsia" w:cstheme="minorEastAsia"/>
        </w:rPr>
        <w:t>将苗龄为30d</w:t>
      </w:r>
      <w:r>
        <w:rPr>
          <w:rFonts w:hint="eastAsia"/>
        </w:rPr>
        <w:t>～</w:t>
      </w:r>
      <w:r>
        <w:rPr>
          <w:rFonts w:hint="eastAsia" w:eastAsiaTheme="minorEastAsia" w:cstheme="minorEastAsia"/>
        </w:rPr>
        <w:t>35d的幼苗带土移栽，每穴1株，株行距为40 cm～45cm×60 cm</w:t>
      </w:r>
      <w:r>
        <w:rPr>
          <w:rFonts w:hint="eastAsia"/>
        </w:rPr>
        <w:t>～</w:t>
      </w:r>
      <w:r>
        <w:rPr>
          <w:rFonts w:hint="eastAsia" w:eastAsiaTheme="minorEastAsia" w:cstheme="minorEastAsia"/>
        </w:rPr>
        <w:t>65 cm覆土不超过子叶，浇足定植水。</w:t>
      </w:r>
    </w:p>
    <w:p w14:paraId="6BA64AC8">
      <w:pPr>
        <w:pStyle w:val="23"/>
        <w:numPr>
          <w:ilvl w:val="0"/>
          <w:numId w:val="0"/>
        </w:numPr>
        <w:spacing w:beforeLines="0" w:afterLines="0"/>
      </w:pPr>
      <w:r>
        <w:rPr>
          <w:rFonts w:hint="eastAsia"/>
        </w:rPr>
        <w:t xml:space="preserve">9 </w:t>
      </w:r>
      <w:r>
        <w:rPr>
          <w:rFonts w:hint="eastAsia" w:ascii="Times New Roman"/>
        </w:rPr>
        <w:t>田间管理</w:t>
      </w:r>
    </w:p>
    <w:p w14:paraId="62F317E5">
      <w:pPr>
        <w:rPr>
          <w:rFonts w:eastAsia="黑体" w:cs="黑体"/>
          <w:kern w:val="0"/>
        </w:rPr>
      </w:pPr>
      <w:r>
        <w:rPr>
          <w:rFonts w:hint="eastAsia" w:eastAsia="黑体" w:cs="黑体"/>
          <w:kern w:val="0"/>
        </w:rPr>
        <w:t>9.1 间苗与定苗</w:t>
      </w:r>
    </w:p>
    <w:p w14:paraId="2B64155E">
      <w:pPr>
        <w:ind w:firstLine="420" w:firstLineChars="200"/>
        <w:rPr>
          <w:rFonts w:eastAsiaTheme="minorEastAsia" w:cstheme="minorEastAsia"/>
        </w:rPr>
      </w:pPr>
      <w:r>
        <w:rPr>
          <w:rFonts w:hint="eastAsia" w:eastAsiaTheme="minorEastAsia" w:cstheme="minorEastAsia"/>
        </w:rPr>
        <w:t>直播苗出土后，当第一片真叶展开时进行第一次间苗，去掉病残弱苗；当2 片</w:t>
      </w:r>
      <w:r>
        <w:rPr>
          <w:rFonts w:hint="eastAsia"/>
        </w:rPr>
        <w:t>～</w:t>
      </w:r>
      <w:r>
        <w:rPr>
          <w:rFonts w:hint="eastAsia" w:eastAsiaTheme="minorEastAsia" w:cstheme="minorEastAsia"/>
        </w:rPr>
        <w:t>3 片真叶展开时定苗，每穴留单株壮苗。</w:t>
      </w:r>
    </w:p>
    <w:p w14:paraId="2C8AB966">
      <w:pPr>
        <w:rPr>
          <w:rFonts w:eastAsia="黑体" w:cs="黑体"/>
          <w:kern w:val="0"/>
        </w:rPr>
      </w:pPr>
      <w:r>
        <w:rPr>
          <w:rFonts w:hint="eastAsia" w:eastAsia="黑体" w:cs="黑体"/>
          <w:kern w:val="0"/>
        </w:rPr>
        <w:t>9.2 中耕培土</w:t>
      </w:r>
    </w:p>
    <w:p w14:paraId="10CA75B6">
      <w:pPr>
        <w:ind w:firstLine="420" w:firstLineChars="200"/>
        <w:rPr>
          <w:rFonts w:eastAsiaTheme="minorEastAsia" w:cstheme="minorEastAsia"/>
        </w:rPr>
      </w:pPr>
      <w:r>
        <w:rPr>
          <w:rFonts w:hint="eastAsia" w:eastAsiaTheme="minorEastAsia" w:cstheme="minorEastAsia"/>
        </w:rPr>
        <w:t>及时进行中耕、除草、培土，防止植株倒伏。</w:t>
      </w:r>
    </w:p>
    <w:p w14:paraId="13D29E03">
      <w:pPr>
        <w:rPr>
          <w:rFonts w:eastAsiaTheme="minorEastAsia" w:cstheme="minorEastAsia"/>
        </w:rPr>
      </w:pPr>
      <w:r>
        <w:rPr>
          <w:rFonts w:hint="eastAsia" w:eastAsia="黑体" w:cs="黑体"/>
          <w:kern w:val="0"/>
        </w:rPr>
        <w:t>9.3 植株调整</w:t>
      </w:r>
    </w:p>
    <w:p w14:paraId="5352B114">
      <w:pPr>
        <w:ind w:firstLine="420" w:firstLineChars="200"/>
        <w:rPr>
          <w:rFonts w:eastAsiaTheme="minorEastAsia" w:cstheme="minorEastAsia"/>
        </w:rPr>
      </w:pPr>
      <w:r>
        <w:rPr>
          <w:rFonts w:hint="eastAsia" w:eastAsiaTheme="minorEastAsia" w:cstheme="minorEastAsia"/>
        </w:rPr>
        <w:t>生长期保留2至3个枝节，剪除多余侧枝，花果期去除老黄叶，及时将嫩果下节的老叶、残叶剪除，保证作物透光透风，减少养分消耗。</w:t>
      </w:r>
    </w:p>
    <w:p w14:paraId="2C0DFC8D">
      <w:pPr>
        <w:rPr>
          <w:rFonts w:ascii="黑体" w:hAnsi="黑体" w:eastAsia="黑体" w:cs="黑体"/>
          <w:kern w:val="0"/>
        </w:rPr>
      </w:pPr>
      <w:r>
        <w:rPr>
          <w:rFonts w:hint="eastAsia" w:ascii="黑体" w:hAnsi="黑体" w:eastAsia="黑体" w:cs="黑体"/>
          <w:kern w:val="0"/>
        </w:rPr>
        <w:t>9</w:t>
      </w:r>
      <w:r>
        <w:rPr>
          <w:rFonts w:hint="eastAsia" w:eastAsia="黑体" w:cs="黑体"/>
          <w:kern w:val="0"/>
        </w:rPr>
        <w:t>.</w:t>
      </w:r>
      <w:r>
        <w:rPr>
          <w:rFonts w:hint="eastAsia" w:ascii="黑体" w:hAnsi="黑体" w:eastAsia="黑体" w:cs="黑体"/>
          <w:kern w:val="0"/>
        </w:rPr>
        <w:t>4 水肥管理</w:t>
      </w:r>
    </w:p>
    <w:p w14:paraId="5492843E">
      <w:pPr>
        <w:ind w:firstLine="420" w:firstLineChars="200"/>
        <w:rPr>
          <w:rFonts w:eastAsiaTheme="minorEastAsia" w:cstheme="minorEastAsia"/>
        </w:rPr>
      </w:pPr>
      <w:r>
        <w:rPr>
          <w:rFonts w:hint="eastAsia" w:eastAsiaTheme="minorEastAsia" w:cstheme="minorEastAsia"/>
        </w:rPr>
        <w:t>直播定苗和育苗定植后浇 1 次水，开花坐果期和盛果期，保持土壤湿润，农田灌溉水应符合NY/T 391</w:t>
      </w:r>
      <w:r>
        <w:rPr>
          <w:rFonts w:hint="eastAsia" w:cstheme="minorEastAsia"/>
        </w:rPr>
        <w:t xml:space="preserve"> </w:t>
      </w:r>
      <w:r>
        <w:rPr>
          <w:rFonts w:hint="eastAsia" w:eastAsiaTheme="minorEastAsia" w:cstheme="minorEastAsia"/>
        </w:rPr>
        <w:t>绿色食品产地环境质量；</w:t>
      </w:r>
    </w:p>
    <w:p w14:paraId="6B598E49">
      <w:pPr>
        <w:ind w:firstLine="420" w:firstLineChars="200"/>
        <w:rPr>
          <w:rFonts w:eastAsiaTheme="minorEastAsia" w:cstheme="minorEastAsia"/>
        </w:rPr>
      </w:pPr>
      <w:r>
        <w:rPr>
          <w:rFonts w:hint="eastAsia" w:eastAsiaTheme="minorEastAsia" w:cstheme="minorEastAsia"/>
        </w:rPr>
        <w:t>结合浇水，实施水肥一体化管理。缓苗定植后5d</w:t>
      </w:r>
      <w:r>
        <w:rPr>
          <w:rFonts w:hint="eastAsia"/>
        </w:rPr>
        <w:t>～</w:t>
      </w:r>
      <w:r>
        <w:rPr>
          <w:rFonts w:hint="eastAsia" w:eastAsiaTheme="minorEastAsia" w:cstheme="minorEastAsia"/>
        </w:rPr>
        <w:t>7d</w:t>
      </w:r>
      <w:r>
        <w:rPr>
          <w:rFonts w:hint="eastAsia"/>
        </w:rPr>
        <w:t>每亩</w:t>
      </w:r>
      <w:r>
        <w:rPr>
          <w:rFonts w:hint="eastAsia" w:eastAsiaTheme="minorEastAsia" w:cstheme="minorEastAsia"/>
        </w:rPr>
        <w:t>追施</w:t>
      </w:r>
      <w:r>
        <w:rPr>
          <w:rFonts w:hint="eastAsia"/>
        </w:rPr>
        <w:t>尿素3 kg～5 kg，</w:t>
      </w:r>
      <w:r>
        <w:rPr>
          <w:rFonts w:hint="eastAsia" w:eastAsiaTheme="minorEastAsia" w:cstheme="minorEastAsia"/>
        </w:rPr>
        <w:t>开花前第二次追肥，每亩追施复合型肥料</w:t>
      </w:r>
      <w:r>
        <w:t>（N</w:t>
      </w:r>
      <w:r>
        <w:rPr>
          <w:rFonts w:hint="eastAsia"/>
        </w:rPr>
        <w:t>:</w:t>
      </w:r>
      <w:r>
        <w:t>P</w:t>
      </w:r>
      <w:r>
        <w:rPr>
          <w:rFonts w:hint="eastAsia"/>
        </w:rPr>
        <w:t>:</w:t>
      </w:r>
      <w:r>
        <w:t>K=15:15:15）</w:t>
      </w:r>
      <w:r>
        <w:rPr>
          <w:rFonts w:hint="eastAsia" w:eastAsiaTheme="minorEastAsia" w:cstheme="minorEastAsia"/>
        </w:rPr>
        <w:t>15kg。进入结果盛期注意追施高钾复合型肥料</w:t>
      </w:r>
      <w:r>
        <w:t>（N</w:t>
      </w:r>
      <w:r>
        <w:rPr>
          <w:rFonts w:hint="eastAsia"/>
        </w:rPr>
        <w:t>:</w:t>
      </w:r>
      <w:r>
        <w:t>P</w:t>
      </w:r>
      <w:r>
        <w:rPr>
          <w:rFonts w:hint="eastAsia"/>
        </w:rPr>
        <w:t>:</w:t>
      </w:r>
      <w:r>
        <w:t>K=15:</w:t>
      </w:r>
      <w:r>
        <w:rPr>
          <w:rFonts w:hint="eastAsia"/>
        </w:rPr>
        <w:t>5</w:t>
      </w:r>
      <w:r>
        <w:t>:</w:t>
      </w:r>
      <w:r>
        <w:rPr>
          <w:rFonts w:hint="eastAsia"/>
        </w:rPr>
        <w:t>30</w:t>
      </w:r>
      <w:r>
        <w:t>）</w:t>
      </w:r>
      <w:r>
        <w:rPr>
          <w:rFonts w:hint="eastAsia" w:eastAsiaTheme="minorEastAsia" w:cstheme="minorEastAsia"/>
        </w:rPr>
        <w:t>，每10d追一次复合型肥料</w:t>
      </w:r>
      <w:r>
        <w:t>（N</w:t>
      </w:r>
      <w:r>
        <w:rPr>
          <w:rFonts w:hint="eastAsia"/>
        </w:rPr>
        <w:t>:</w:t>
      </w:r>
      <w:r>
        <w:t>P</w:t>
      </w:r>
      <w:r>
        <w:rPr>
          <w:rFonts w:hint="eastAsia"/>
        </w:rPr>
        <w:t>:</w:t>
      </w:r>
      <w:r>
        <w:t>K=15:15:15）</w:t>
      </w:r>
      <w:r>
        <w:rPr>
          <w:rFonts w:hint="eastAsia"/>
        </w:rPr>
        <w:t>，</w:t>
      </w:r>
      <w:r>
        <w:rPr>
          <w:rFonts w:hint="eastAsia" w:eastAsiaTheme="minorEastAsia" w:cstheme="minorEastAsia"/>
        </w:rPr>
        <w:t>每亩用15kg～20kg。生长后期用0.3%磷酸</w:t>
      </w:r>
      <w:r>
        <w:rPr>
          <w:rFonts w:hint="eastAsia"/>
        </w:rPr>
        <w:t>二</w:t>
      </w:r>
      <w:r>
        <w:rPr>
          <w:rFonts w:hint="eastAsia" w:eastAsiaTheme="minorEastAsia" w:cstheme="minorEastAsia"/>
        </w:rPr>
        <w:t>氢钾溶液喷施叶面肥，每间隔一个星期一次，连续喷2次～3次，防止植株早衰。</w:t>
      </w:r>
    </w:p>
    <w:p w14:paraId="59922BE5">
      <w:pPr>
        <w:pStyle w:val="23"/>
        <w:numPr>
          <w:ilvl w:val="0"/>
          <w:numId w:val="0"/>
        </w:numPr>
        <w:spacing w:beforeLines="0" w:afterLines="0"/>
      </w:pPr>
      <w:r>
        <w:rPr>
          <w:rFonts w:hint="eastAsia"/>
        </w:rPr>
        <w:t>10</w:t>
      </w:r>
      <w:r>
        <w:rPr>
          <w:rFonts w:hint="eastAsia" w:ascii="Times New Roman"/>
        </w:rPr>
        <w:t xml:space="preserve"> 病虫害防治</w:t>
      </w:r>
    </w:p>
    <w:p w14:paraId="1AD0B167">
      <w:pPr>
        <w:rPr>
          <w:rFonts w:eastAsia="黑体" w:cs="黑体"/>
          <w:kern w:val="0"/>
        </w:rPr>
      </w:pPr>
      <w:r>
        <w:rPr>
          <w:rFonts w:hint="eastAsia" w:eastAsia="黑体" w:cs="黑体"/>
          <w:kern w:val="0"/>
        </w:rPr>
        <w:t>10.1 防治原则</w:t>
      </w:r>
    </w:p>
    <w:p w14:paraId="77F763E8">
      <w:pPr>
        <w:ind w:firstLine="420" w:firstLineChars="200"/>
        <w:rPr>
          <w:rFonts w:eastAsiaTheme="minorEastAsia" w:cstheme="minorEastAsia"/>
        </w:rPr>
      </w:pPr>
      <w:r>
        <w:rPr>
          <w:rFonts w:hint="eastAsia" w:eastAsiaTheme="minorEastAsia" w:cstheme="minorEastAsia"/>
        </w:rPr>
        <w:t>按照“预防为主、综合防治”的植保方针，在做好种子检疫和病虫害田间监测的基础上，针对秋葵不同生育期主要病虫害发生特点，优先采用农业措施、物理防治、生物防治，辅之以科学合理的化学防治的绿色防控技术，实现秋葵病虫害绿色防控和优质安全生产。</w:t>
      </w:r>
    </w:p>
    <w:p w14:paraId="3CAD37EA">
      <w:pPr>
        <w:rPr>
          <w:rFonts w:eastAsia="黑体" w:cs="黑体"/>
          <w:kern w:val="0"/>
        </w:rPr>
      </w:pPr>
      <w:r>
        <w:rPr>
          <w:rFonts w:eastAsia="黑体" w:cs="黑体"/>
          <w:kern w:val="0"/>
        </w:rPr>
        <w:t xml:space="preserve">10.2 </w:t>
      </w:r>
      <w:r>
        <w:rPr>
          <w:rFonts w:hint="eastAsia" w:eastAsia="黑体" w:cs="黑体"/>
          <w:kern w:val="0"/>
        </w:rPr>
        <w:t>主要病虫害</w:t>
      </w:r>
    </w:p>
    <w:p w14:paraId="3291F06B">
      <w:pPr>
        <w:ind w:firstLine="420" w:firstLineChars="200"/>
        <w:rPr>
          <w:rFonts w:eastAsia="黑体" w:cs="黑体"/>
          <w:kern w:val="0"/>
        </w:rPr>
      </w:pPr>
      <w:r>
        <w:rPr>
          <w:rFonts w:hint="eastAsia" w:eastAsiaTheme="minorEastAsia" w:cstheme="minorEastAsia"/>
        </w:rPr>
        <w:t>秋葵一般病虫害较少，常见</w:t>
      </w:r>
      <w:r>
        <w:rPr>
          <w:rFonts w:hint="eastAsia"/>
          <w:snapToGrid w:val="0"/>
          <w:kern w:val="21"/>
        </w:rPr>
        <w:t>病害有灰霉病等；常见虫害有蚜虫，蓟马，棉铃虫等。</w:t>
      </w:r>
    </w:p>
    <w:p w14:paraId="65F51535">
      <w:pPr>
        <w:rPr>
          <w:rFonts w:eastAsia="黑体" w:cs="黑体"/>
          <w:kern w:val="0"/>
        </w:rPr>
      </w:pPr>
      <w:r>
        <w:rPr>
          <w:rFonts w:hint="eastAsia" w:eastAsia="黑体" w:cs="黑体"/>
          <w:kern w:val="0"/>
        </w:rPr>
        <w:t>10.</w:t>
      </w:r>
      <w:r>
        <w:rPr>
          <w:rFonts w:eastAsia="黑体" w:cs="黑体"/>
          <w:kern w:val="0"/>
        </w:rPr>
        <w:t>3</w:t>
      </w:r>
      <w:r>
        <w:rPr>
          <w:rFonts w:hint="eastAsia" w:eastAsia="黑体" w:cs="黑体"/>
          <w:kern w:val="0"/>
        </w:rPr>
        <w:t xml:space="preserve"> 防治措施</w:t>
      </w:r>
    </w:p>
    <w:p w14:paraId="44B8AAB7">
      <w:pPr>
        <w:rPr>
          <w:rFonts w:eastAsia="黑体" w:cs="黑体"/>
          <w:kern w:val="0"/>
        </w:rPr>
      </w:pPr>
      <w:r>
        <w:rPr>
          <w:rFonts w:hint="eastAsia" w:eastAsia="黑体" w:cs="黑体"/>
          <w:kern w:val="0"/>
        </w:rPr>
        <w:t>10.3.1 农业防治</w:t>
      </w:r>
    </w:p>
    <w:p w14:paraId="4298F4F2">
      <w:pPr>
        <w:ind w:firstLine="420" w:firstLineChars="200"/>
        <w:rPr>
          <w:rFonts w:eastAsiaTheme="minorEastAsia" w:cstheme="minorEastAsia"/>
        </w:rPr>
      </w:pPr>
      <w:r>
        <w:rPr>
          <w:rFonts w:hint="eastAsia" w:eastAsiaTheme="minorEastAsia" w:cstheme="minorEastAsia"/>
        </w:rPr>
        <w:t>播前进行种子精选和消毒，集中处理作物残渣及杂草，施用腐熟有机肥以及深耕晒垄，减少病虫草害传播媒介和载体。合理轮作换茬、选用抗性品种并加强田间管理，减少病虫害的传播及发生。</w:t>
      </w:r>
    </w:p>
    <w:p w14:paraId="72E850A4">
      <w:pPr>
        <w:rPr>
          <w:rFonts w:eastAsia="黑体" w:cs="黑体"/>
          <w:kern w:val="0"/>
        </w:rPr>
      </w:pPr>
      <w:r>
        <w:rPr>
          <w:rFonts w:hint="eastAsia" w:eastAsia="黑体" w:cs="黑体"/>
          <w:kern w:val="0"/>
        </w:rPr>
        <w:t>10.</w:t>
      </w:r>
      <w:r>
        <w:rPr>
          <w:rFonts w:eastAsia="黑体" w:cs="黑体"/>
          <w:kern w:val="0"/>
        </w:rPr>
        <w:t>3.2</w:t>
      </w:r>
      <w:r>
        <w:rPr>
          <w:rFonts w:hint="eastAsia" w:eastAsia="黑体" w:cs="黑体"/>
          <w:kern w:val="0"/>
        </w:rPr>
        <w:t xml:space="preserve"> 物理防治</w:t>
      </w:r>
    </w:p>
    <w:p w14:paraId="584D4553">
      <w:pPr>
        <w:ind w:firstLine="420" w:firstLineChars="200"/>
        <w:rPr>
          <w:rFonts w:eastAsiaTheme="minorEastAsia" w:cstheme="minorEastAsia"/>
        </w:rPr>
      </w:pPr>
      <w:r>
        <w:rPr>
          <w:rFonts w:hint="eastAsia" w:eastAsiaTheme="minorEastAsia" w:cstheme="minorEastAsia"/>
        </w:rPr>
        <w:t>蚜虫等害虫用黄板诱杀，蓟马等害虫用篮板诱杀。悬挂在作物上方10 cm</w:t>
      </w:r>
      <w:r>
        <w:rPr>
          <w:rFonts w:hint="eastAsia" w:eastAsiaTheme="minorEastAsia"/>
        </w:rPr>
        <w:t>～</w:t>
      </w:r>
      <w:r>
        <w:rPr>
          <w:rFonts w:hint="eastAsia" w:eastAsiaTheme="minorEastAsia" w:cstheme="minorEastAsia"/>
        </w:rPr>
        <w:t>20 cm处，随植物生长适当调整，每亩放置25 块</w:t>
      </w:r>
      <w:r>
        <w:rPr>
          <w:rFonts w:hint="eastAsia"/>
        </w:rPr>
        <w:t>～</w:t>
      </w:r>
      <w:r>
        <w:rPr>
          <w:rFonts w:hint="eastAsia" w:eastAsiaTheme="minorEastAsia" w:cstheme="minorEastAsia"/>
        </w:rPr>
        <w:t>30 块为宜。斜纹夜蛾等可用杀虫灯诱杀，在田间每10亩</w:t>
      </w:r>
      <w:r>
        <w:rPr>
          <w:rFonts w:hint="eastAsia"/>
        </w:rPr>
        <w:t>～</w:t>
      </w:r>
      <w:r>
        <w:rPr>
          <w:rFonts w:hint="eastAsia" w:eastAsiaTheme="minorEastAsia" w:cstheme="minorEastAsia"/>
        </w:rPr>
        <w:t>15亩放置灭虫灯一台。</w:t>
      </w:r>
    </w:p>
    <w:p w14:paraId="37AB9543">
      <w:pPr>
        <w:rPr>
          <w:rFonts w:eastAsiaTheme="minorEastAsia" w:cstheme="minorEastAsia"/>
        </w:rPr>
      </w:pPr>
      <w:r>
        <w:rPr>
          <w:rFonts w:hint="eastAsia" w:eastAsia="黑体" w:cs="黑体"/>
          <w:kern w:val="0"/>
        </w:rPr>
        <w:t>10.</w:t>
      </w:r>
      <w:r>
        <w:rPr>
          <w:rFonts w:eastAsia="黑体" w:cs="黑体"/>
          <w:kern w:val="0"/>
        </w:rPr>
        <w:t>3.3</w:t>
      </w:r>
      <w:r>
        <w:rPr>
          <w:rFonts w:hint="eastAsia" w:eastAsia="黑体" w:cs="黑体"/>
          <w:kern w:val="0"/>
        </w:rPr>
        <w:t xml:space="preserve"> 生物防治</w:t>
      </w:r>
    </w:p>
    <w:p w14:paraId="57D98B2F">
      <w:pPr>
        <w:ind w:firstLine="420" w:firstLineChars="200"/>
        <w:rPr>
          <w:rFonts w:eastAsiaTheme="minorEastAsia" w:cstheme="minorEastAsia"/>
        </w:rPr>
      </w:pPr>
      <w:r>
        <w:rPr>
          <w:rFonts w:hint="eastAsia" w:eastAsiaTheme="minorEastAsia" w:cstheme="minorEastAsia"/>
        </w:rPr>
        <w:t>利用天敌，以虫治虫的方法来防治害虫；利用生物农药，以菌或生物活体代谢产物等治虫，如</w:t>
      </w:r>
      <w:bookmarkStart w:id="5" w:name="OLE_LINK1"/>
      <w:r>
        <w:rPr>
          <w:rFonts w:hint="eastAsia" w:eastAsiaTheme="minorEastAsia" w:cstheme="minorEastAsia"/>
        </w:rPr>
        <w:t>苏云金芽孢杆菌</w:t>
      </w:r>
      <w:bookmarkEnd w:id="5"/>
      <w:r>
        <w:rPr>
          <w:rFonts w:hint="eastAsia" w:eastAsiaTheme="minorEastAsia" w:cstheme="minorEastAsia"/>
        </w:rPr>
        <w:t>等。</w:t>
      </w:r>
    </w:p>
    <w:p w14:paraId="67E80A96">
      <w:pPr>
        <w:rPr>
          <w:rFonts w:eastAsiaTheme="minorEastAsia" w:cstheme="minorEastAsia"/>
        </w:rPr>
      </w:pPr>
      <w:r>
        <w:rPr>
          <w:rFonts w:hint="eastAsia" w:eastAsia="黑体" w:cs="黑体"/>
          <w:kern w:val="0"/>
        </w:rPr>
        <w:t>10.</w:t>
      </w:r>
      <w:r>
        <w:rPr>
          <w:rFonts w:eastAsia="黑体" w:cs="黑体"/>
          <w:kern w:val="0"/>
        </w:rPr>
        <w:t>3.4</w:t>
      </w:r>
      <w:r>
        <w:rPr>
          <w:rFonts w:hint="eastAsia" w:eastAsia="黑体" w:cs="黑体"/>
          <w:kern w:val="0"/>
        </w:rPr>
        <w:t xml:space="preserve"> 化学防治</w:t>
      </w:r>
    </w:p>
    <w:p w14:paraId="4FC55920">
      <w:pPr>
        <w:ind w:firstLine="420" w:firstLineChars="200"/>
        <w:rPr>
          <w:rFonts w:eastAsiaTheme="minorEastAsia" w:cstheme="minorEastAsia"/>
        </w:rPr>
      </w:pPr>
      <w:r>
        <w:rPr>
          <w:rFonts w:hint="eastAsia" w:eastAsiaTheme="minorEastAsia" w:cstheme="minorEastAsia"/>
        </w:rPr>
        <w:t>农药使用应符合 NY/T 393 的规定。严格按照农药安全使用间隔期用药。绿色食品</w:t>
      </w:r>
      <w:r>
        <w:rPr>
          <w:rFonts w:eastAsiaTheme="minorEastAsia" w:cstheme="minorEastAsia"/>
        </w:rPr>
        <w:t>秋葵</w:t>
      </w:r>
      <w:r>
        <w:rPr>
          <w:rFonts w:hint="eastAsia" w:eastAsiaTheme="minorEastAsia" w:cstheme="minorEastAsia"/>
        </w:rPr>
        <w:t>生产主要病虫害防治推荐</w:t>
      </w:r>
      <w:r>
        <w:rPr>
          <w:rFonts w:eastAsiaTheme="minorEastAsia" w:cstheme="minorEastAsia"/>
        </w:rPr>
        <w:t>农药使用方案参</w:t>
      </w:r>
      <w:r>
        <w:rPr>
          <w:rFonts w:hint="eastAsia" w:eastAsiaTheme="minorEastAsia" w:cstheme="minorEastAsia"/>
        </w:rPr>
        <w:t>见附录A。</w:t>
      </w:r>
    </w:p>
    <w:p w14:paraId="6B0A2759">
      <w:pPr>
        <w:pStyle w:val="23"/>
        <w:numPr>
          <w:ilvl w:val="0"/>
          <w:numId w:val="0"/>
        </w:numPr>
        <w:spacing w:beforeLines="0" w:afterLines="0"/>
      </w:pPr>
      <w:r>
        <w:rPr>
          <w:rFonts w:hint="eastAsia"/>
        </w:rPr>
        <w:t>11</w:t>
      </w:r>
      <w:r>
        <w:rPr>
          <w:rFonts w:hint="eastAsia" w:ascii="Times New Roman"/>
        </w:rPr>
        <w:t>　采收</w:t>
      </w:r>
    </w:p>
    <w:p w14:paraId="36D8A8F5">
      <w:pPr>
        <w:rPr>
          <w:rFonts w:eastAsiaTheme="minorEastAsia" w:cstheme="minorEastAsia"/>
        </w:rPr>
      </w:pPr>
      <w:r>
        <w:rPr>
          <w:rFonts w:hint="eastAsia" w:eastAsia="黑体" w:cs="黑体"/>
          <w:kern w:val="0"/>
        </w:rPr>
        <w:t>11.1 采收标准</w:t>
      </w:r>
    </w:p>
    <w:p w14:paraId="5D126BFA">
      <w:pPr>
        <w:ind w:firstLine="420" w:firstLineChars="200"/>
      </w:pPr>
      <w:r>
        <w:rPr>
          <w:rFonts w:hint="eastAsia"/>
        </w:rPr>
        <w:t>果荚长10cm～15cm，果荚硬韧、色绿、鲜亮时，即可采收。</w:t>
      </w:r>
    </w:p>
    <w:p w14:paraId="6C7E3C5F">
      <w:pPr>
        <w:rPr>
          <w:rFonts w:eastAsia="黑体" w:cs="黑体"/>
          <w:kern w:val="0"/>
        </w:rPr>
      </w:pPr>
      <w:r>
        <w:rPr>
          <w:rFonts w:hint="eastAsia" w:eastAsia="黑体" w:cs="黑体"/>
          <w:kern w:val="0"/>
        </w:rPr>
        <w:t>11.2 采收时间</w:t>
      </w:r>
    </w:p>
    <w:p w14:paraId="708DD241">
      <w:pPr>
        <w:ind w:firstLine="420" w:firstLineChars="200"/>
        <w:rPr>
          <w:rFonts w:eastAsiaTheme="minorEastAsia" w:cstheme="minorEastAsia"/>
        </w:rPr>
      </w:pPr>
      <w:r>
        <w:rPr>
          <w:rFonts w:hint="eastAsia" w:eastAsiaTheme="minorEastAsia" w:cstheme="minorEastAsia"/>
        </w:rPr>
        <w:t>一般在花谢后4d～6d内即可采收。温度高时，嫩荚生长快，需天天采收或隔天采收;温度较低时，隔1d～3d采收1次。</w:t>
      </w:r>
    </w:p>
    <w:p w14:paraId="310DCF47">
      <w:pPr>
        <w:rPr>
          <w:rFonts w:eastAsiaTheme="minorEastAsia" w:cstheme="minorEastAsia"/>
        </w:rPr>
      </w:pPr>
      <w:r>
        <w:rPr>
          <w:rFonts w:hint="eastAsia" w:eastAsia="黑体" w:cs="黑体"/>
          <w:kern w:val="0"/>
        </w:rPr>
        <w:t>11.3 采收方法</w:t>
      </w:r>
    </w:p>
    <w:p w14:paraId="137CBCC4">
      <w:pPr>
        <w:ind w:firstLine="420" w:firstLineChars="200"/>
        <w:rPr>
          <w:rFonts w:eastAsiaTheme="minorEastAsia" w:cstheme="minorEastAsia"/>
        </w:rPr>
      </w:pPr>
      <w:r>
        <w:rPr>
          <w:rFonts w:hint="eastAsia" w:eastAsiaTheme="minorEastAsia" w:cstheme="minorEastAsia"/>
        </w:rPr>
        <w:t>采收时宜佩戴手套，用剪刀从果柄处剪下，保留 1cm 左右长的果柄，切勿用手撕摘。</w:t>
      </w:r>
    </w:p>
    <w:p w14:paraId="55B40422">
      <w:pPr>
        <w:rPr>
          <w:rFonts w:eastAsiaTheme="minorEastAsia" w:cstheme="minorEastAsia"/>
        </w:rPr>
      </w:pPr>
      <w:r>
        <w:rPr>
          <w:rFonts w:hint="eastAsia" w:eastAsia="黑体" w:cs="黑体"/>
          <w:kern w:val="0"/>
        </w:rPr>
        <w:t>11.4 采后处理</w:t>
      </w:r>
    </w:p>
    <w:p w14:paraId="0BBEA360">
      <w:pPr>
        <w:ind w:firstLine="420" w:firstLineChars="200"/>
        <w:rPr>
          <w:rFonts w:eastAsiaTheme="minorEastAsia" w:cstheme="minorEastAsia"/>
        </w:rPr>
      </w:pPr>
      <w:r>
        <w:rPr>
          <w:rFonts w:hint="eastAsia" w:eastAsiaTheme="minorEastAsia" w:cstheme="minorEastAsia"/>
        </w:rPr>
        <w:t>采收后按照秋葵皮色、形状、长短等进行分级分类，分级分类应符合</w:t>
      </w:r>
      <w:r>
        <w:t>NY/T 3270</w:t>
      </w:r>
      <w:r>
        <w:rPr>
          <w:rFonts w:hint="eastAsia"/>
        </w:rPr>
        <w:t>的规定。</w:t>
      </w:r>
      <w:r>
        <w:rPr>
          <w:rFonts w:hint="eastAsia" w:eastAsiaTheme="minorEastAsia" w:cstheme="minorEastAsia"/>
        </w:rPr>
        <w:t>用保鲜膜或牛皮纸进行包装储藏，确保整洁、干燥、透气、无污染。</w:t>
      </w:r>
    </w:p>
    <w:p w14:paraId="4DCE4917">
      <w:pPr>
        <w:pStyle w:val="23"/>
        <w:numPr>
          <w:ilvl w:val="0"/>
          <w:numId w:val="0"/>
        </w:numPr>
        <w:spacing w:beforeLines="0" w:afterLines="0"/>
      </w:pPr>
      <w:r>
        <w:rPr>
          <w:rFonts w:hint="eastAsia"/>
        </w:rPr>
        <w:t>12 生产</w:t>
      </w:r>
      <w:r>
        <w:rPr>
          <w:rFonts w:hint="eastAsia" w:ascii="Times New Roman"/>
        </w:rPr>
        <w:t>废弃物</w:t>
      </w:r>
      <w:r>
        <w:rPr>
          <w:rFonts w:hint="eastAsia"/>
        </w:rPr>
        <w:t>处理</w:t>
      </w:r>
    </w:p>
    <w:p w14:paraId="3442CB3B">
      <w:pPr>
        <w:ind w:firstLine="42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生产过程中使用的地膜、营养钵、农药、肥料包装袋等分类收集，集中处理。生产后期的秋葵植株残体进行集中收集粉碎，堆肥沤制有机肥。</w:t>
      </w:r>
    </w:p>
    <w:p w14:paraId="02E395C8">
      <w:pPr>
        <w:pStyle w:val="23"/>
        <w:numPr>
          <w:ilvl w:val="0"/>
          <w:numId w:val="0"/>
        </w:numPr>
        <w:spacing w:beforeLines="0" w:afterLines="0"/>
      </w:pPr>
      <w:r>
        <w:rPr>
          <w:rFonts w:hint="eastAsia"/>
        </w:rPr>
        <w:t>13 储藏与运输</w:t>
      </w:r>
    </w:p>
    <w:p w14:paraId="7EBE7E76">
      <w:pPr>
        <w:rPr>
          <w:rFonts w:ascii="黑体" w:eastAsia="黑体" w:cs="黑体"/>
          <w:kern w:val="0"/>
        </w:rPr>
      </w:pPr>
      <w:r>
        <w:rPr>
          <w:rFonts w:hint="eastAsia" w:ascii="黑体" w:eastAsia="黑体" w:cs="黑体"/>
          <w:kern w:val="0"/>
        </w:rPr>
        <w:t>13.1储藏</w:t>
      </w:r>
    </w:p>
    <w:p w14:paraId="37564298">
      <w:pPr>
        <w:ind w:firstLine="42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保鲜库温度保持在</w:t>
      </w:r>
      <w:r>
        <w:rPr>
          <w:rFonts w:eastAsiaTheme="minorEastAsia"/>
        </w:rPr>
        <w:t>5℃～ 7℃</w:t>
      </w:r>
      <w:r>
        <w:rPr>
          <w:rFonts w:hint="eastAsia" w:asciiTheme="minorEastAsia" w:hAnsiTheme="minorEastAsia" w:eastAsiaTheme="minorEastAsia" w:cstheme="minorEastAsia"/>
        </w:rPr>
        <w:t>，湿度保持在</w:t>
      </w:r>
      <w:r>
        <w:rPr>
          <w:rFonts w:hint="eastAsia" w:eastAsiaTheme="minorEastAsia"/>
        </w:rPr>
        <w:t>80%～ 90%</w:t>
      </w:r>
      <w:r>
        <w:rPr>
          <w:rFonts w:hint="eastAsia" w:asciiTheme="minorEastAsia" w:hAnsiTheme="minorEastAsia" w:eastAsiaTheme="minorEastAsia" w:cstheme="minorEastAsia"/>
        </w:rPr>
        <w:t>，保证通风条件良好；储藏原则符合</w:t>
      </w:r>
      <w:r>
        <w:rPr>
          <w:rFonts w:hint="eastAsia" w:eastAsiaTheme="minorEastAsia"/>
        </w:rPr>
        <w:t>NY/T 3570</w:t>
      </w:r>
      <w:r>
        <w:rPr>
          <w:rFonts w:hint="eastAsia" w:asciiTheme="minorEastAsia" w:hAnsiTheme="minorEastAsia" w:eastAsiaTheme="minorEastAsia" w:cstheme="minorEastAsia"/>
        </w:rPr>
        <w:t>的要求。</w:t>
      </w:r>
    </w:p>
    <w:p w14:paraId="282ADF72">
      <w:pPr>
        <w:rPr>
          <w:rFonts w:ascii="黑体" w:eastAsia="黑体" w:cs="黑体"/>
          <w:kern w:val="0"/>
        </w:rPr>
      </w:pPr>
      <w:r>
        <w:rPr>
          <w:rFonts w:hint="eastAsia" w:ascii="黑体" w:eastAsia="黑体" w:cs="黑体"/>
          <w:kern w:val="0"/>
        </w:rPr>
        <w:t>13.2 运输</w:t>
      </w:r>
    </w:p>
    <w:p w14:paraId="20CCF563">
      <w:pPr>
        <w:ind w:firstLine="42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对运输车辆进行清洁，并保证干燥、无污染。运输过程中注意防晒、防雨、通风。防止与非绿色食品混装运输。储藏与运输应符合</w:t>
      </w:r>
      <w:r>
        <w:rPr>
          <w:rFonts w:hint="eastAsia" w:eastAsiaTheme="minorEastAsia"/>
        </w:rPr>
        <w:t>NY/T 1056</w:t>
      </w:r>
      <w:r>
        <w:rPr>
          <w:rFonts w:hint="eastAsia" w:asciiTheme="minorEastAsia" w:hAnsiTheme="minorEastAsia" w:eastAsiaTheme="minorEastAsia" w:cstheme="minorEastAsia"/>
        </w:rPr>
        <w:t>的要求。</w:t>
      </w:r>
    </w:p>
    <w:p w14:paraId="499B130E">
      <w:pPr>
        <w:pStyle w:val="23"/>
        <w:numPr>
          <w:ilvl w:val="0"/>
          <w:numId w:val="0"/>
        </w:numPr>
        <w:spacing w:beforeLines="0" w:afterLines="0"/>
        <w:rPr>
          <w:rFonts w:eastAsiaTheme="minorEastAsia" w:cstheme="minorEastAsia"/>
        </w:rPr>
      </w:pPr>
      <w:r>
        <w:rPr>
          <w:rFonts w:hint="eastAsia"/>
        </w:rPr>
        <w:t>14</w:t>
      </w:r>
      <w:r>
        <w:rPr>
          <w:rFonts w:hint="eastAsia" w:ascii="Times New Roman"/>
        </w:rPr>
        <w:t xml:space="preserve"> 生产记录与档案</w:t>
      </w:r>
      <w:r>
        <w:rPr>
          <w:rFonts w:hint="eastAsia" w:ascii="Times New Roman" w:eastAsiaTheme="minorEastAsia" w:cstheme="minorEastAsia"/>
        </w:rPr>
        <w:t xml:space="preserve">  </w:t>
      </w:r>
    </w:p>
    <w:p w14:paraId="7BFDDDDC">
      <w:pPr>
        <w:ind w:firstLine="420" w:firstLineChars="200"/>
        <w:rPr>
          <w:rFonts w:eastAsiaTheme="minorEastAsia" w:cstheme="minorEastAsia"/>
        </w:rPr>
      </w:pPr>
      <w:r>
        <w:rPr>
          <w:rFonts w:hint="eastAsia" w:eastAsiaTheme="minorEastAsia" w:cstheme="minorEastAsia"/>
        </w:rPr>
        <w:t>整个生产过程应有及时、详尽的记录，并应按期归档。记录档案保存</w:t>
      </w:r>
      <w:r>
        <w:rPr>
          <w:rFonts w:hint="eastAsia" w:cstheme="minorEastAsia"/>
        </w:rPr>
        <w:t>3</w:t>
      </w:r>
      <w:r>
        <w:rPr>
          <w:rFonts w:hint="eastAsia" w:eastAsiaTheme="minorEastAsia" w:cstheme="minorEastAsia"/>
        </w:rPr>
        <w:t>年以上，做到可追溯。</w:t>
      </w:r>
      <w:r>
        <w:rPr>
          <w:rFonts w:eastAsiaTheme="minorEastAsia" w:cstheme="minorEastAsia"/>
        </w:rPr>
        <w:br w:type="page"/>
      </w:r>
    </w:p>
    <w:p w14:paraId="4BDD0C1A">
      <w:pPr>
        <w:rPr>
          <w:rFonts w:eastAsia="黑体" w:cs="黑体"/>
          <w:kern w:val="0"/>
        </w:rPr>
      </w:pPr>
    </w:p>
    <w:p w14:paraId="4B9BB9BE">
      <w:pPr>
        <w:pStyle w:val="23"/>
        <w:numPr>
          <w:ilvl w:val="0"/>
          <w:numId w:val="0"/>
        </w:numPr>
        <w:spacing w:beforeLines="0" w:afterLines="0"/>
        <w:jc w:val="center"/>
      </w:pPr>
      <w:r>
        <w:rPr>
          <w:rFonts w:hint="eastAsia" w:ascii="Times New Roman"/>
        </w:rPr>
        <w:t>附录A</w:t>
      </w:r>
    </w:p>
    <w:p w14:paraId="75C6A77F">
      <w:pPr>
        <w:contextualSpacing/>
        <w:jc w:val="center"/>
        <w:rPr>
          <w:rFonts w:eastAsia="黑体"/>
          <w:kern w:val="0"/>
        </w:rPr>
      </w:pPr>
      <w:r>
        <w:rPr>
          <w:rFonts w:hint="eastAsia" w:eastAsia="黑体"/>
          <w:kern w:val="0"/>
        </w:rPr>
        <w:t>（资料性附录）</w:t>
      </w:r>
    </w:p>
    <w:p w14:paraId="3D6E9229">
      <w:pPr>
        <w:contextualSpacing/>
        <w:jc w:val="center"/>
        <w:rPr>
          <w:rFonts w:eastAsia="黑体" w:cs="黑体"/>
          <w:kern w:val="0"/>
        </w:rPr>
      </w:pPr>
      <w:r>
        <w:rPr>
          <w:rFonts w:hint="eastAsia" w:eastAsia="黑体"/>
          <w:kern w:val="0"/>
        </w:rPr>
        <w:t xml:space="preserve">北方地区 </w:t>
      </w:r>
      <w:r>
        <w:rPr>
          <w:rFonts w:hint="eastAsia" w:eastAsia="黑体" w:cs="黑体"/>
          <w:kern w:val="0"/>
        </w:rPr>
        <w:t>绿色食品露地秋葵生产主要病虫害防治推荐农药使用方案</w:t>
      </w:r>
    </w:p>
    <w:p w14:paraId="5FD2F058">
      <w:pPr>
        <w:contextualSpacing/>
        <w:jc w:val="center"/>
        <w:rPr>
          <w:rFonts w:eastAsia="黑体" w:cs="黑体"/>
          <w:kern w:val="0"/>
        </w:rPr>
      </w:pPr>
    </w:p>
    <w:p w14:paraId="33EF6313">
      <w:pPr>
        <w:ind w:firstLine="420" w:firstLineChars="200"/>
        <w:contextualSpacing/>
        <w:jc w:val="left"/>
        <w:rPr>
          <w:rFonts w:asciiTheme="minorEastAsia" w:hAnsiTheme="minorEastAsia" w:eastAsiaTheme="minorEastAsia"/>
          <w:kern w:val="0"/>
        </w:rPr>
      </w:pPr>
      <w:r>
        <w:rPr>
          <w:rFonts w:hint="eastAsia" w:asciiTheme="minorEastAsia" w:hAnsiTheme="minorEastAsia" w:eastAsiaTheme="minorEastAsia"/>
          <w:kern w:val="0"/>
        </w:rPr>
        <w:t xml:space="preserve">北方地区 </w:t>
      </w:r>
      <w:r>
        <w:rPr>
          <w:rFonts w:hint="eastAsia" w:cs="黑体" w:asciiTheme="minorEastAsia" w:hAnsiTheme="minorEastAsia" w:eastAsiaTheme="minorEastAsia"/>
          <w:kern w:val="0"/>
        </w:rPr>
        <w:t>绿色食品露地秋葵生产主要病虫害防治推荐农药使用方案见</w:t>
      </w:r>
      <w:r>
        <w:rPr>
          <w:rFonts w:hint="eastAsia" w:asciiTheme="minorEastAsia" w:hAnsiTheme="minorEastAsia" w:eastAsiaTheme="minorEastAsia"/>
          <w:kern w:val="0"/>
        </w:rPr>
        <w:t>表A.1。</w:t>
      </w:r>
    </w:p>
    <w:p w14:paraId="7A964D97">
      <w:pPr>
        <w:ind w:firstLine="420" w:firstLineChars="200"/>
        <w:contextualSpacing/>
        <w:jc w:val="left"/>
        <w:rPr>
          <w:rFonts w:asciiTheme="minorEastAsia" w:hAnsiTheme="minorEastAsia" w:eastAsiaTheme="minorEastAsia"/>
          <w:kern w:val="0"/>
        </w:rPr>
      </w:pPr>
    </w:p>
    <w:tbl>
      <w:tblPr>
        <w:tblStyle w:val="10"/>
        <w:tblpPr w:leftFromText="180" w:rightFromText="180" w:vertAnchor="text" w:horzAnchor="page" w:tblpXSpec="center" w:tblpY="495"/>
        <w:tblOverlap w:val="never"/>
        <w:tblW w:w="4907"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83"/>
        <w:gridCol w:w="1443"/>
        <w:gridCol w:w="1729"/>
        <w:gridCol w:w="1477"/>
        <w:gridCol w:w="1198"/>
        <w:gridCol w:w="1133"/>
      </w:tblGrid>
      <w:tr w14:paraId="4D230E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27" w:type="pct"/>
            <w:vAlign w:val="center"/>
          </w:tcPr>
          <w:p w14:paraId="0B782EB9">
            <w:pPr>
              <w:widowControl/>
              <w:adjustRightInd w:val="0"/>
              <w:snapToGrid w:val="0"/>
              <w:jc w:val="center"/>
              <w:rPr>
                <w:rFonts w:cs="宋体" w:asciiTheme="minorEastAsia" w:hAnsiTheme="minorEastAsia" w:eastAsiaTheme="minorEastAsia"/>
                <w:b/>
                <w:color w:val="000000" w:themeColor="text1"/>
                <w14:textFill>
                  <w14:solidFill>
                    <w14:schemeClr w14:val="tx1"/>
                  </w14:solidFill>
                </w14:textFill>
              </w:rPr>
            </w:pPr>
            <w:r>
              <w:rPr>
                <w:rFonts w:hint="eastAsia" w:cs="宋体" w:asciiTheme="minorEastAsia" w:hAnsiTheme="minorEastAsia" w:eastAsiaTheme="minorEastAsia"/>
                <w:b/>
                <w:color w:val="000000" w:themeColor="text1"/>
                <w14:textFill>
                  <w14:solidFill>
                    <w14:schemeClr w14:val="tx1"/>
                  </w14:solidFill>
                </w14:textFill>
              </w:rPr>
              <w:t>防治对象</w:t>
            </w:r>
          </w:p>
        </w:tc>
        <w:tc>
          <w:tcPr>
            <w:tcW w:w="863" w:type="pct"/>
            <w:vAlign w:val="center"/>
          </w:tcPr>
          <w:p w14:paraId="74C8F603">
            <w:pPr>
              <w:widowControl/>
              <w:adjustRightInd w:val="0"/>
              <w:snapToGrid w:val="0"/>
              <w:jc w:val="center"/>
              <w:rPr>
                <w:rFonts w:cs="宋体" w:asciiTheme="minorEastAsia" w:hAnsiTheme="minorEastAsia" w:eastAsiaTheme="minorEastAsia"/>
                <w:b/>
                <w:color w:val="000000" w:themeColor="text1"/>
                <w14:textFill>
                  <w14:solidFill>
                    <w14:schemeClr w14:val="tx1"/>
                  </w14:solidFill>
                </w14:textFill>
              </w:rPr>
            </w:pPr>
            <w:r>
              <w:rPr>
                <w:rFonts w:hint="eastAsia" w:cs="宋体" w:asciiTheme="minorEastAsia" w:hAnsiTheme="minorEastAsia" w:eastAsiaTheme="minorEastAsia"/>
                <w:b/>
                <w:color w:val="000000" w:themeColor="text1"/>
                <w14:textFill>
                  <w14:solidFill>
                    <w14:schemeClr w14:val="tx1"/>
                  </w14:solidFill>
                </w14:textFill>
              </w:rPr>
              <w:t>防治时期</w:t>
            </w:r>
          </w:p>
        </w:tc>
        <w:tc>
          <w:tcPr>
            <w:tcW w:w="1034" w:type="pct"/>
            <w:vAlign w:val="center"/>
          </w:tcPr>
          <w:p w14:paraId="6167616B">
            <w:pPr>
              <w:widowControl/>
              <w:adjustRightInd w:val="0"/>
              <w:snapToGrid w:val="0"/>
              <w:jc w:val="center"/>
              <w:rPr>
                <w:rFonts w:cs="宋体" w:asciiTheme="minorEastAsia" w:hAnsiTheme="minorEastAsia" w:eastAsiaTheme="minorEastAsia"/>
                <w:b/>
                <w:color w:val="000000" w:themeColor="text1"/>
                <w14:textFill>
                  <w14:solidFill>
                    <w14:schemeClr w14:val="tx1"/>
                  </w14:solidFill>
                </w14:textFill>
              </w:rPr>
            </w:pPr>
            <w:r>
              <w:rPr>
                <w:rFonts w:hint="eastAsia" w:cs="宋体" w:asciiTheme="minorEastAsia" w:hAnsiTheme="minorEastAsia" w:eastAsiaTheme="minorEastAsia"/>
                <w:b/>
                <w:color w:val="000000" w:themeColor="text1"/>
                <w14:textFill>
                  <w14:solidFill>
                    <w14:schemeClr w14:val="tx1"/>
                  </w14:solidFill>
                </w14:textFill>
              </w:rPr>
              <w:t>农药名称</w:t>
            </w:r>
          </w:p>
        </w:tc>
        <w:tc>
          <w:tcPr>
            <w:tcW w:w="883" w:type="pct"/>
            <w:vAlign w:val="center"/>
          </w:tcPr>
          <w:p w14:paraId="2C434669">
            <w:pPr>
              <w:widowControl/>
              <w:adjustRightInd w:val="0"/>
              <w:snapToGrid w:val="0"/>
              <w:jc w:val="center"/>
              <w:rPr>
                <w:rFonts w:cs="宋体" w:asciiTheme="minorEastAsia" w:hAnsiTheme="minorEastAsia" w:eastAsiaTheme="minorEastAsia"/>
                <w:b/>
                <w:color w:val="000000" w:themeColor="text1"/>
                <w14:textFill>
                  <w14:solidFill>
                    <w14:schemeClr w14:val="tx1"/>
                  </w14:solidFill>
                </w14:textFill>
              </w:rPr>
            </w:pPr>
            <w:r>
              <w:rPr>
                <w:rFonts w:hint="eastAsia" w:cs="宋体" w:asciiTheme="minorEastAsia" w:hAnsiTheme="minorEastAsia" w:eastAsiaTheme="minorEastAsia"/>
                <w:b/>
                <w:color w:val="000000" w:themeColor="text1"/>
                <w14:textFill>
                  <w14:solidFill>
                    <w14:schemeClr w14:val="tx1"/>
                  </w14:solidFill>
                </w14:textFill>
              </w:rPr>
              <w:t>使用剂量</w:t>
            </w:r>
          </w:p>
        </w:tc>
        <w:tc>
          <w:tcPr>
            <w:tcW w:w="716" w:type="pct"/>
            <w:vAlign w:val="center"/>
          </w:tcPr>
          <w:p w14:paraId="2A97607C">
            <w:pPr>
              <w:widowControl/>
              <w:adjustRightInd w:val="0"/>
              <w:snapToGrid w:val="0"/>
              <w:jc w:val="center"/>
              <w:rPr>
                <w:rFonts w:cs="宋体" w:asciiTheme="minorEastAsia" w:hAnsiTheme="minorEastAsia" w:eastAsiaTheme="minorEastAsia"/>
                <w:b/>
                <w:color w:val="000000" w:themeColor="text1"/>
                <w14:textFill>
                  <w14:solidFill>
                    <w14:schemeClr w14:val="tx1"/>
                  </w14:solidFill>
                </w14:textFill>
              </w:rPr>
            </w:pPr>
            <w:r>
              <w:rPr>
                <w:rFonts w:hint="eastAsia" w:cs="宋体" w:asciiTheme="minorEastAsia" w:hAnsiTheme="minorEastAsia" w:eastAsiaTheme="minorEastAsia"/>
                <w:b/>
                <w:color w:val="000000" w:themeColor="text1"/>
                <w14:textFill>
                  <w14:solidFill>
                    <w14:schemeClr w14:val="tx1"/>
                  </w14:solidFill>
                </w14:textFill>
              </w:rPr>
              <w:t>施药方法</w:t>
            </w:r>
          </w:p>
        </w:tc>
        <w:tc>
          <w:tcPr>
            <w:tcW w:w="677" w:type="pct"/>
            <w:vAlign w:val="center"/>
          </w:tcPr>
          <w:p w14:paraId="794698F7">
            <w:pPr>
              <w:widowControl/>
              <w:adjustRightInd w:val="0"/>
              <w:snapToGrid w:val="0"/>
              <w:jc w:val="center"/>
              <w:rPr>
                <w:rFonts w:cs="宋体" w:asciiTheme="minorEastAsia" w:hAnsiTheme="minorEastAsia" w:eastAsiaTheme="minorEastAsia"/>
                <w:b/>
                <w:color w:val="000000" w:themeColor="text1"/>
                <w14:textFill>
                  <w14:solidFill>
                    <w14:schemeClr w14:val="tx1"/>
                  </w14:solidFill>
                </w14:textFill>
              </w:rPr>
            </w:pPr>
            <w:r>
              <w:rPr>
                <w:rFonts w:hint="eastAsia" w:cs="宋体" w:asciiTheme="minorEastAsia" w:hAnsiTheme="minorEastAsia" w:eastAsiaTheme="minorEastAsia"/>
                <w:b/>
                <w:color w:val="000000" w:themeColor="text1"/>
                <w14:textFill>
                  <w14:solidFill>
                    <w14:schemeClr w14:val="tx1"/>
                  </w14:solidFill>
                </w14:textFill>
              </w:rPr>
              <w:t>安全间隔期（天）</w:t>
            </w:r>
          </w:p>
        </w:tc>
      </w:tr>
      <w:tr w14:paraId="45DD1B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27" w:type="pct"/>
            <w:vMerge w:val="restart"/>
            <w:shd w:val="clear" w:color="auto" w:fill="auto"/>
            <w:vAlign w:val="center"/>
          </w:tcPr>
          <w:p w14:paraId="292DE861">
            <w:pPr>
              <w:widowControl/>
              <w:adjustRightInd w:val="0"/>
              <w:snapToGrid w:val="0"/>
              <w:jc w:val="center"/>
              <w:rPr>
                <w:rFonts w:asciiTheme="minorEastAsia" w:hAnsiTheme="minorEastAsia" w:eastAsiaTheme="minorEastAsia"/>
              </w:rPr>
            </w:pPr>
            <w:r>
              <w:rPr>
                <w:rFonts w:hint="eastAsia" w:asciiTheme="minorEastAsia" w:hAnsiTheme="minorEastAsia" w:eastAsiaTheme="minorEastAsia"/>
              </w:rPr>
              <w:t>灰霉病等多种病害</w:t>
            </w:r>
          </w:p>
        </w:tc>
        <w:tc>
          <w:tcPr>
            <w:tcW w:w="863" w:type="pct"/>
            <w:shd w:val="clear" w:color="auto" w:fill="auto"/>
            <w:vAlign w:val="center"/>
          </w:tcPr>
          <w:p w14:paraId="3F511A3F">
            <w:pPr>
              <w:widowControl/>
              <w:adjustRightInd w:val="0"/>
              <w:snapToGrid w:val="0"/>
              <w:jc w:val="center"/>
              <w:rPr>
                <w:rFonts w:asciiTheme="minorEastAsia" w:hAnsiTheme="minorEastAsia" w:eastAsiaTheme="minorEastAsia"/>
              </w:rPr>
            </w:pPr>
            <w:r>
              <w:rPr>
                <w:rFonts w:hint="eastAsia" w:asciiTheme="minorEastAsia" w:hAnsiTheme="minorEastAsia" w:eastAsiaTheme="minorEastAsia"/>
                <w:color w:val="333333"/>
                <w:shd w:val="clear" w:color="auto" w:fill="FFFFFF"/>
              </w:rPr>
              <w:t>发病初期</w:t>
            </w:r>
          </w:p>
        </w:tc>
        <w:tc>
          <w:tcPr>
            <w:tcW w:w="1034" w:type="pct"/>
            <w:shd w:val="clear" w:color="auto" w:fill="auto"/>
            <w:vAlign w:val="center"/>
          </w:tcPr>
          <w:p w14:paraId="2D8575D4">
            <w:pPr>
              <w:widowControl/>
              <w:adjustRightInd w:val="0"/>
              <w:snapToGrid w:val="0"/>
              <w:jc w:val="center"/>
              <w:rPr>
                <w:rFonts w:asciiTheme="minorEastAsia" w:hAnsiTheme="minorEastAsia" w:eastAsiaTheme="minorEastAsia"/>
              </w:rPr>
            </w:pPr>
            <w:bookmarkStart w:id="6" w:name="OLE_LINK2"/>
            <w:bookmarkStart w:id="7" w:name="OLE_LINK3"/>
            <w:r>
              <w:rPr>
                <w:rFonts w:hint="eastAsia" w:asciiTheme="minorEastAsia" w:hAnsiTheme="minorEastAsia" w:eastAsiaTheme="minorEastAsia"/>
              </w:rPr>
              <w:t>80%代森锌可湿性粉剂</w:t>
            </w:r>
            <w:bookmarkEnd w:id="6"/>
            <w:bookmarkEnd w:id="7"/>
          </w:p>
        </w:tc>
        <w:tc>
          <w:tcPr>
            <w:tcW w:w="883" w:type="pct"/>
            <w:shd w:val="clear" w:color="auto" w:fill="auto"/>
            <w:vAlign w:val="center"/>
          </w:tcPr>
          <w:p w14:paraId="11484FD6">
            <w:pPr>
              <w:widowControl/>
              <w:adjustRightInd w:val="0"/>
              <w:snapToGrid w:val="0"/>
              <w:jc w:val="center"/>
              <w:rPr>
                <w:rFonts w:asciiTheme="minorEastAsia" w:hAnsiTheme="minorEastAsia" w:eastAsiaTheme="minorEastAsia"/>
              </w:rPr>
            </w:pPr>
            <w:r>
              <w:rPr>
                <w:rFonts w:hint="eastAsia" w:asciiTheme="minorEastAsia" w:hAnsiTheme="minorEastAsia" w:eastAsiaTheme="minorEastAsia"/>
                <w:color w:val="333333"/>
                <w:shd w:val="clear" w:color="auto" w:fill="FFFFFF"/>
              </w:rPr>
              <w:t>80-100克/亩</w:t>
            </w:r>
          </w:p>
        </w:tc>
        <w:tc>
          <w:tcPr>
            <w:tcW w:w="716" w:type="pct"/>
            <w:shd w:val="clear" w:color="auto" w:fill="auto"/>
            <w:vAlign w:val="center"/>
          </w:tcPr>
          <w:p w14:paraId="006CBE48">
            <w:pPr>
              <w:widowControl/>
              <w:adjustRightInd w:val="0"/>
              <w:snapToGrid w:val="0"/>
              <w:jc w:val="center"/>
              <w:rPr>
                <w:rFonts w:asciiTheme="minorEastAsia" w:hAnsiTheme="minorEastAsia" w:eastAsiaTheme="minorEastAsia"/>
              </w:rPr>
            </w:pPr>
            <w:r>
              <w:rPr>
                <w:rFonts w:hint="eastAsia" w:asciiTheme="minorEastAsia" w:hAnsiTheme="minorEastAsia" w:eastAsiaTheme="minorEastAsia"/>
                <w:color w:val="333333"/>
                <w:shd w:val="clear" w:color="auto" w:fill="FFFFFF"/>
              </w:rPr>
              <w:t>喷雾</w:t>
            </w:r>
          </w:p>
        </w:tc>
        <w:tc>
          <w:tcPr>
            <w:tcW w:w="677" w:type="pct"/>
            <w:shd w:val="clear" w:color="auto" w:fill="auto"/>
            <w:vAlign w:val="center"/>
          </w:tcPr>
          <w:p w14:paraId="11A02B10">
            <w:pPr>
              <w:widowControl/>
              <w:adjustRightInd w:val="0"/>
              <w:snapToGrid w:val="0"/>
              <w:jc w:val="center"/>
              <w:rPr>
                <w:rFonts w:asciiTheme="minorEastAsia" w:hAnsiTheme="minorEastAsia" w:eastAsiaTheme="minorEastAsia"/>
              </w:rPr>
            </w:pPr>
            <w:r>
              <w:rPr>
                <w:rFonts w:asciiTheme="minorEastAsia" w:hAnsiTheme="minorEastAsia" w:eastAsiaTheme="minorEastAsia"/>
              </w:rPr>
              <w:t>21</w:t>
            </w:r>
          </w:p>
        </w:tc>
      </w:tr>
      <w:tr w14:paraId="5257E6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27" w:type="pct"/>
            <w:vMerge w:val="continue"/>
            <w:shd w:val="clear" w:color="auto" w:fill="auto"/>
            <w:vAlign w:val="center"/>
          </w:tcPr>
          <w:p w14:paraId="0BA6640D">
            <w:pPr>
              <w:widowControl/>
              <w:adjustRightInd w:val="0"/>
              <w:snapToGrid w:val="0"/>
              <w:jc w:val="center"/>
              <w:rPr>
                <w:rFonts w:asciiTheme="minorEastAsia" w:hAnsiTheme="minorEastAsia" w:eastAsiaTheme="minorEastAsia"/>
              </w:rPr>
            </w:pPr>
          </w:p>
        </w:tc>
        <w:tc>
          <w:tcPr>
            <w:tcW w:w="863" w:type="pct"/>
            <w:shd w:val="clear" w:color="auto" w:fill="auto"/>
            <w:vAlign w:val="center"/>
          </w:tcPr>
          <w:p w14:paraId="2BEA1978">
            <w:pPr>
              <w:widowControl/>
              <w:adjustRightInd w:val="0"/>
              <w:snapToGrid w:val="0"/>
              <w:jc w:val="center"/>
              <w:rPr>
                <w:rFonts w:asciiTheme="minorEastAsia" w:hAnsiTheme="minorEastAsia" w:eastAsiaTheme="minorEastAsia"/>
              </w:rPr>
            </w:pPr>
            <w:r>
              <w:rPr>
                <w:rFonts w:hint="eastAsia" w:asciiTheme="minorEastAsia" w:hAnsiTheme="minorEastAsia" w:eastAsiaTheme="minorEastAsia"/>
                <w:color w:val="333333"/>
                <w:shd w:val="clear" w:color="auto" w:fill="FFFFFF"/>
              </w:rPr>
              <w:t>发病前或初期</w:t>
            </w:r>
          </w:p>
        </w:tc>
        <w:tc>
          <w:tcPr>
            <w:tcW w:w="1034" w:type="pct"/>
            <w:shd w:val="clear" w:color="auto" w:fill="auto"/>
            <w:vAlign w:val="center"/>
          </w:tcPr>
          <w:p w14:paraId="61C1C46E">
            <w:pPr>
              <w:widowControl/>
              <w:adjustRightInd w:val="0"/>
              <w:snapToGrid w:val="0"/>
              <w:jc w:val="center"/>
              <w:rPr>
                <w:rFonts w:asciiTheme="minorEastAsia" w:hAnsiTheme="minorEastAsia" w:eastAsiaTheme="minorEastAsia"/>
              </w:rPr>
            </w:pPr>
            <w:r>
              <w:rPr>
                <w:rFonts w:asciiTheme="minorEastAsia" w:hAnsiTheme="minorEastAsia" w:eastAsiaTheme="minorEastAsia"/>
                <w:color w:val="333333"/>
                <w:shd w:val="clear" w:color="auto" w:fill="FFFFFF"/>
              </w:rPr>
              <w:t>36%</w:t>
            </w:r>
            <w:r>
              <w:rPr>
                <w:rFonts w:hint="eastAsia" w:asciiTheme="minorEastAsia" w:hAnsiTheme="minorEastAsia" w:eastAsiaTheme="minorEastAsia"/>
                <w:color w:val="333333"/>
                <w:shd w:val="clear" w:color="auto" w:fill="FFFFFF"/>
              </w:rPr>
              <w:t>甲基硫菌灵悬浮剂</w:t>
            </w:r>
          </w:p>
        </w:tc>
        <w:tc>
          <w:tcPr>
            <w:tcW w:w="883" w:type="pct"/>
            <w:shd w:val="clear" w:color="auto" w:fill="auto"/>
            <w:vAlign w:val="center"/>
          </w:tcPr>
          <w:p w14:paraId="32E15BAE">
            <w:pPr>
              <w:widowControl/>
              <w:adjustRightInd w:val="0"/>
              <w:snapToGrid w:val="0"/>
              <w:jc w:val="center"/>
              <w:rPr>
                <w:rFonts w:asciiTheme="minorEastAsia" w:hAnsiTheme="minorEastAsia" w:eastAsiaTheme="minorEastAsia"/>
              </w:rPr>
            </w:pPr>
            <w:r>
              <w:rPr>
                <w:rFonts w:asciiTheme="minorEastAsia" w:hAnsiTheme="minorEastAsia" w:eastAsiaTheme="minorEastAsia"/>
                <w:color w:val="333333"/>
                <w:shd w:val="clear" w:color="auto" w:fill="FFFFFF"/>
              </w:rPr>
              <w:t>400-12</w:t>
            </w:r>
            <w:r>
              <w:rPr>
                <w:rFonts w:hint="eastAsia" w:asciiTheme="minorEastAsia" w:hAnsiTheme="minorEastAsia" w:eastAsiaTheme="minorEastAsia"/>
                <w:color w:val="333333"/>
                <w:shd w:val="clear" w:color="auto" w:fill="FFFFFF"/>
              </w:rPr>
              <w:t>00倍液</w:t>
            </w:r>
          </w:p>
        </w:tc>
        <w:tc>
          <w:tcPr>
            <w:tcW w:w="716" w:type="pct"/>
            <w:shd w:val="clear" w:color="auto" w:fill="auto"/>
            <w:vAlign w:val="center"/>
          </w:tcPr>
          <w:p w14:paraId="2BD10B67">
            <w:pPr>
              <w:widowControl/>
              <w:adjustRightInd w:val="0"/>
              <w:snapToGrid w:val="0"/>
              <w:jc w:val="center"/>
              <w:rPr>
                <w:rFonts w:asciiTheme="minorEastAsia" w:hAnsiTheme="minorEastAsia" w:eastAsiaTheme="minorEastAsia"/>
              </w:rPr>
            </w:pPr>
            <w:r>
              <w:rPr>
                <w:rFonts w:hint="eastAsia" w:asciiTheme="minorEastAsia" w:hAnsiTheme="minorEastAsia" w:eastAsiaTheme="minorEastAsia"/>
                <w:color w:val="333333"/>
                <w:shd w:val="clear" w:color="auto" w:fill="FFFFFF"/>
              </w:rPr>
              <w:t>喷雾</w:t>
            </w:r>
          </w:p>
        </w:tc>
        <w:tc>
          <w:tcPr>
            <w:tcW w:w="677" w:type="pct"/>
            <w:shd w:val="clear" w:color="auto" w:fill="auto"/>
            <w:vAlign w:val="center"/>
          </w:tcPr>
          <w:p w14:paraId="09E00F2E">
            <w:pPr>
              <w:widowControl/>
              <w:adjustRightInd w:val="0"/>
              <w:snapToGrid w:val="0"/>
              <w:jc w:val="center"/>
              <w:rPr>
                <w:rFonts w:asciiTheme="minorEastAsia" w:hAnsiTheme="minorEastAsia" w:eastAsiaTheme="minorEastAsia"/>
              </w:rPr>
            </w:pPr>
            <w:r>
              <w:rPr>
                <w:rFonts w:asciiTheme="minorEastAsia" w:hAnsiTheme="minorEastAsia" w:eastAsiaTheme="minorEastAsia"/>
              </w:rPr>
              <w:t>14</w:t>
            </w:r>
          </w:p>
        </w:tc>
      </w:tr>
      <w:tr w14:paraId="7DDADB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27" w:type="pct"/>
            <w:vMerge w:val="restart"/>
            <w:vAlign w:val="center"/>
          </w:tcPr>
          <w:p w14:paraId="39BAC57F">
            <w:pPr>
              <w:widowControl/>
              <w:adjustRightInd w:val="0"/>
              <w:snapToGrid w:val="0"/>
              <w:jc w:val="center"/>
              <w:rPr>
                <w:rFonts w:asciiTheme="minorEastAsia" w:hAnsiTheme="minorEastAsia" w:eastAsiaTheme="minorEastAsia" w:cstheme="majorEastAsia"/>
                <w:color w:val="000000" w:themeColor="text1"/>
                <w14:textFill>
                  <w14:solidFill>
                    <w14:schemeClr w14:val="tx1"/>
                  </w14:solidFill>
                </w14:textFill>
              </w:rPr>
            </w:pPr>
            <w:r>
              <w:rPr>
                <w:rFonts w:hint="eastAsia" w:asciiTheme="minorEastAsia" w:hAnsiTheme="minorEastAsia" w:eastAsiaTheme="minorEastAsia" w:cstheme="majorEastAsia"/>
                <w:color w:val="000000" w:themeColor="text1"/>
                <w14:textFill>
                  <w14:solidFill>
                    <w14:schemeClr w14:val="tx1"/>
                  </w14:solidFill>
                </w14:textFill>
              </w:rPr>
              <w:t>蚜虫</w:t>
            </w:r>
          </w:p>
        </w:tc>
        <w:tc>
          <w:tcPr>
            <w:tcW w:w="863" w:type="pct"/>
            <w:vMerge w:val="restart"/>
            <w:vAlign w:val="center"/>
          </w:tcPr>
          <w:p w14:paraId="187CBEA1">
            <w:pPr>
              <w:widowControl/>
              <w:adjustRightInd w:val="0"/>
              <w:snapToGrid w:val="0"/>
              <w:jc w:val="center"/>
              <w:rPr>
                <w:rFonts w:asciiTheme="minorEastAsia" w:hAnsiTheme="minorEastAsia" w:eastAsiaTheme="minorEastAsia" w:cstheme="majorEastAsia"/>
                <w:color w:val="000000" w:themeColor="text1"/>
                <w14:textFill>
                  <w14:solidFill>
                    <w14:schemeClr w14:val="tx1"/>
                  </w14:solidFill>
                </w14:textFill>
              </w:rPr>
            </w:pPr>
            <w:r>
              <w:rPr>
                <w:rFonts w:hint="eastAsia" w:asciiTheme="minorEastAsia" w:hAnsiTheme="minorEastAsia" w:eastAsiaTheme="minorEastAsia" w:cstheme="majorEastAsia"/>
                <w:color w:val="000000" w:themeColor="text1"/>
                <w14:textFill>
                  <w14:solidFill>
                    <w14:schemeClr w14:val="tx1"/>
                  </w14:solidFill>
                </w14:textFill>
              </w:rPr>
              <w:t>整个生长期</w:t>
            </w:r>
          </w:p>
        </w:tc>
        <w:tc>
          <w:tcPr>
            <w:tcW w:w="1034" w:type="pct"/>
            <w:vAlign w:val="center"/>
          </w:tcPr>
          <w:p w14:paraId="0EBF8B71">
            <w:pPr>
              <w:widowControl/>
              <w:adjustRightInd w:val="0"/>
              <w:snapToGrid w:val="0"/>
              <w:jc w:val="center"/>
              <w:rPr>
                <w:rFonts w:asciiTheme="minorEastAsia" w:hAnsiTheme="minorEastAsia" w:eastAsiaTheme="minorEastAsia" w:cstheme="majorEastAsia"/>
                <w:color w:val="000000" w:themeColor="text1"/>
                <w14:textFill>
                  <w14:solidFill>
                    <w14:schemeClr w14:val="tx1"/>
                  </w14:solidFill>
                </w14:textFill>
              </w:rPr>
            </w:pPr>
            <w:bookmarkStart w:id="8" w:name="OLE_LINK4"/>
            <w:r>
              <w:rPr>
                <w:rFonts w:asciiTheme="minorEastAsia" w:hAnsiTheme="minorEastAsia" w:eastAsiaTheme="minorEastAsia" w:cstheme="majorEastAsia"/>
                <w:color w:val="000000" w:themeColor="text1"/>
                <w14:textFill>
                  <w14:solidFill>
                    <w14:schemeClr w14:val="tx1"/>
                  </w14:solidFill>
                </w14:textFill>
              </w:rPr>
              <w:t>10%</w:t>
            </w:r>
            <w:r>
              <w:rPr>
                <w:rFonts w:hint="eastAsia" w:asciiTheme="minorEastAsia" w:hAnsiTheme="minorEastAsia" w:eastAsiaTheme="minorEastAsia" w:cstheme="majorEastAsia"/>
                <w:color w:val="000000" w:themeColor="text1"/>
                <w14:textFill>
                  <w14:solidFill>
                    <w14:schemeClr w14:val="tx1"/>
                  </w14:solidFill>
                </w14:textFill>
              </w:rPr>
              <w:t>吡虫啉</w:t>
            </w:r>
            <w:bookmarkEnd w:id="8"/>
            <w:r>
              <w:rPr>
                <w:rFonts w:hint="eastAsia" w:asciiTheme="minorEastAsia" w:hAnsiTheme="minorEastAsia" w:eastAsiaTheme="minorEastAsia" w:cstheme="majorEastAsia"/>
                <w:color w:val="000000" w:themeColor="text1"/>
                <w14:textFill>
                  <w14:solidFill>
                    <w14:schemeClr w14:val="tx1"/>
                  </w14:solidFill>
                </w14:textFill>
              </w:rPr>
              <w:t>可湿性粉剂</w:t>
            </w:r>
          </w:p>
        </w:tc>
        <w:tc>
          <w:tcPr>
            <w:tcW w:w="883" w:type="pct"/>
            <w:vAlign w:val="center"/>
          </w:tcPr>
          <w:p w14:paraId="4ADD53CC">
            <w:pPr>
              <w:widowControl/>
              <w:adjustRightInd w:val="0"/>
              <w:snapToGrid w:val="0"/>
              <w:jc w:val="center"/>
              <w:rPr>
                <w:rFonts w:asciiTheme="minorEastAsia" w:hAnsiTheme="minorEastAsia" w:eastAsiaTheme="minorEastAsia" w:cstheme="majorEastAsia"/>
                <w:color w:val="000000" w:themeColor="text1"/>
                <w14:textFill>
                  <w14:solidFill>
                    <w14:schemeClr w14:val="tx1"/>
                  </w14:solidFill>
                </w14:textFill>
              </w:rPr>
            </w:pPr>
            <w:r>
              <w:rPr>
                <w:rFonts w:hint="eastAsia" w:asciiTheme="minorEastAsia" w:hAnsiTheme="minorEastAsia" w:eastAsiaTheme="minorEastAsia"/>
                <w:color w:val="333333"/>
                <w:shd w:val="clear" w:color="auto" w:fill="FFFFFF"/>
              </w:rPr>
              <w:t>5克/亩</w:t>
            </w:r>
          </w:p>
        </w:tc>
        <w:tc>
          <w:tcPr>
            <w:tcW w:w="716" w:type="pct"/>
            <w:vAlign w:val="center"/>
          </w:tcPr>
          <w:p w14:paraId="3812D7C4">
            <w:pPr>
              <w:widowControl/>
              <w:adjustRightInd w:val="0"/>
              <w:snapToGrid w:val="0"/>
              <w:jc w:val="center"/>
              <w:rPr>
                <w:rFonts w:asciiTheme="minorEastAsia" w:hAnsiTheme="minorEastAsia" w:eastAsiaTheme="minorEastAsia" w:cstheme="majorEastAsia"/>
                <w:color w:val="000000" w:themeColor="text1"/>
                <w14:textFill>
                  <w14:solidFill>
                    <w14:schemeClr w14:val="tx1"/>
                  </w14:solidFill>
                </w14:textFill>
              </w:rPr>
            </w:pPr>
            <w:r>
              <w:rPr>
                <w:rFonts w:hint="eastAsia" w:asciiTheme="minorEastAsia" w:hAnsiTheme="minorEastAsia" w:eastAsiaTheme="minorEastAsia" w:cstheme="majorEastAsia"/>
                <w:color w:val="000000" w:themeColor="text1"/>
                <w14:textFill>
                  <w14:solidFill>
                    <w14:schemeClr w14:val="tx1"/>
                  </w14:solidFill>
                </w14:textFill>
              </w:rPr>
              <w:t>喷雾</w:t>
            </w:r>
          </w:p>
        </w:tc>
        <w:tc>
          <w:tcPr>
            <w:tcW w:w="677" w:type="pct"/>
            <w:vAlign w:val="center"/>
          </w:tcPr>
          <w:p w14:paraId="2F60985D">
            <w:pPr>
              <w:widowControl/>
              <w:adjustRightInd w:val="0"/>
              <w:snapToGrid w:val="0"/>
              <w:jc w:val="center"/>
              <w:rPr>
                <w:rFonts w:asciiTheme="minorEastAsia" w:hAnsiTheme="minorEastAsia" w:eastAsiaTheme="minorEastAsia" w:cstheme="majorEastAsia"/>
                <w:color w:val="000000" w:themeColor="text1"/>
                <w14:textFill>
                  <w14:solidFill>
                    <w14:schemeClr w14:val="tx1"/>
                  </w14:solidFill>
                </w14:textFill>
              </w:rPr>
            </w:pPr>
            <w:r>
              <w:rPr>
                <w:rFonts w:asciiTheme="minorEastAsia" w:hAnsiTheme="minorEastAsia" w:eastAsiaTheme="minorEastAsia" w:cstheme="majorEastAsia"/>
                <w:color w:val="000000" w:themeColor="text1"/>
                <w14:textFill>
                  <w14:solidFill>
                    <w14:schemeClr w14:val="tx1"/>
                  </w14:solidFill>
                </w14:textFill>
              </w:rPr>
              <w:t>14</w:t>
            </w:r>
          </w:p>
        </w:tc>
      </w:tr>
      <w:tr w14:paraId="5AB551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27" w:type="pct"/>
            <w:vMerge w:val="continue"/>
            <w:vAlign w:val="center"/>
          </w:tcPr>
          <w:p w14:paraId="3C7F8BDE">
            <w:pPr>
              <w:widowControl/>
              <w:adjustRightInd w:val="0"/>
              <w:snapToGrid w:val="0"/>
              <w:jc w:val="center"/>
              <w:rPr>
                <w:rFonts w:asciiTheme="minorEastAsia" w:hAnsiTheme="minorEastAsia" w:eastAsiaTheme="minorEastAsia" w:cstheme="majorEastAsia"/>
                <w:color w:val="000000" w:themeColor="text1"/>
                <w14:textFill>
                  <w14:solidFill>
                    <w14:schemeClr w14:val="tx1"/>
                  </w14:solidFill>
                </w14:textFill>
              </w:rPr>
            </w:pPr>
          </w:p>
        </w:tc>
        <w:tc>
          <w:tcPr>
            <w:tcW w:w="863" w:type="pct"/>
            <w:vMerge w:val="continue"/>
            <w:vAlign w:val="center"/>
          </w:tcPr>
          <w:p w14:paraId="660E4381">
            <w:pPr>
              <w:widowControl/>
              <w:adjustRightInd w:val="0"/>
              <w:snapToGrid w:val="0"/>
              <w:jc w:val="center"/>
              <w:rPr>
                <w:rFonts w:asciiTheme="minorEastAsia" w:hAnsiTheme="minorEastAsia" w:eastAsiaTheme="minorEastAsia" w:cstheme="majorEastAsia"/>
                <w:color w:val="000000" w:themeColor="text1"/>
                <w14:textFill>
                  <w14:solidFill>
                    <w14:schemeClr w14:val="tx1"/>
                  </w14:solidFill>
                </w14:textFill>
              </w:rPr>
            </w:pPr>
          </w:p>
        </w:tc>
        <w:tc>
          <w:tcPr>
            <w:tcW w:w="1034" w:type="pct"/>
            <w:vAlign w:val="center"/>
          </w:tcPr>
          <w:p w14:paraId="2B279FE5">
            <w:pPr>
              <w:widowControl/>
              <w:adjustRightInd w:val="0"/>
              <w:snapToGrid w:val="0"/>
              <w:jc w:val="center"/>
              <w:rPr>
                <w:rFonts w:asciiTheme="minorEastAsia" w:hAnsiTheme="minorEastAsia" w:eastAsiaTheme="minorEastAsia" w:cstheme="majorEastAsia"/>
                <w:color w:val="000000" w:themeColor="text1"/>
                <w14:textFill>
                  <w14:solidFill>
                    <w14:schemeClr w14:val="tx1"/>
                  </w14:solidFill>
                </w14:textFill>
              </w:rPr>
            </w:pPr>
            <w:r>
              <w:rPr>
                <w:rFonts w:hint="eastAsia" w:asciiTheme="minorEastAsia" w:hAnsiTheme="minorEastAsia" w:eastAsiaTheme="minorEastAsia"/>
                <w:color w:val="333333"/>
                <w:shd w:val="clear" w:color="auto" w:fill="FFFFFF"/>
              </w:rPr>
              <w:t>4.5%高效氯氰菊酯乳油</w:t>
            </w:r>
          </w:p>
        </w:tc>
        <w:tc>
          <w:tcPr>
            <w:tcW w:w="883" w:type="pct"/>
            <w:vAlign w:val="center"/>
          </w:tcPr>
          <w:p w14:paraId="790AB79A">
            <w:pPr>
              <w:widowControl/>
              <w:adjustRightInd w:val="0"/>
              <w:snapToGrid w:val="0"/>
              <w:jc w:val="center"/>
              <w:rPr>
                <w:rFonts w:asciiTheme="minorEastAsia" w:hAnsiTheme="minorEastAsia" w:eastAsiaTheme="minorEastAsia" w:cstheme="majorEastAsia"/>
                <w:color w:val="000000" w:themeColor="text1"/>
                <w14:textFill>
                  <w14:solidFill>
                    <w14:schemeClr w14:val="tx1"/>
                  </w14:solidFill>
                </w14:textFill>
              </w:rPr>
            </w:pPr>
            <w:r>
              <w:rPr>
                <w:rFonts w:hint="eastAsia" w:asciiTheme="minorEastAsia" w:hAnsiTheme="minorEastAsia" w:eastAsiaTheme="minorEastAsia"/>
                <w:color w:val="333333"/>
                <w:shd w:val="clear" w:color="auto" w:fill="FFFFFF"/>
              </w:rPr>
              <w:t>5-27毫升/亩</w:t>
            </w:r>
          </w:p>
        </w:tc>
        <w:tc>
          <w:tcPr>
            <w:tcW w:w="716" w:type="pct"/>
            <w:vAlign w:val="center"/>
          </w:tcPr>
          <w:p w14:paraId="20688F44">
            <w:pPr>
              <w:widowControl/>
              <w:adjustRightInd w:val="0"/>
              <w:snapToGrid w:val="0"/>
              <w:jc w:val="center"/>
              <w:rPr>
                <w:rFonts w:asciiTheme="minorEastAsia" w:hAnsiTheme="minorEastAsia" w:eastAsiaTheme="minorEastAsia" w:cstheme="majorEastAsia"/>
                <w:color w:val="000000" w:themeColor="text1"/>
                <w14:textFill>
                  <w14:solidFill>
                    <w14:schemeClr w14:val="tx1"/>
                  </w14:solidFill>
                </w14:textFill>
              </w:rPr>
            </w:pPr>
            <w:r>
              <w:rPr>
                <w:rFonts w:hint="eastAsia" w:asciiTheme="minorEastAsia" w:hAnsiTheme="minorEastAsia" w:eastAsiaTheme="minorEastAsia"/>
                <w:color w:val="333333"/>
                <w:shd w:val="clear" w:color="auto" w:fill="FFFFFF"/>
              </w:rPr>
              <w:t>喷雾</w:t>
            </w:r>
          </w:p>
        </w:tc>
        <w:tc>
          <w:tcPr>
            <w:tcW w:w="677" w:type="pct"/>
            <w:vAlign w:val="center"/>
          </w:tcPr>
          <w:p w14:paraId="2417F845">
            <w:pPr>
              <w:widowControl/>
              <w:adjustRightInd w:val="0"/>
              <w:snapToGrid w:val="0"/>
              <w:jc w:val="center"/>
              <w:rPr>
                <w:rFonts w:asciiTheme="minorEastAsia" w:hAnsiTheme="minorEastAsia" w:eastAsiaTheme="minorEastAsia" w:cstheme="majorEastAsia"/>
                <w:color w:val="000000" w:themeColor="text1"/>
                <w14:textFill>
                  <w14:solidFill>
                    <w14:schemeClr w14:val="tx1"/>
                  </w14:solidFill>
                </w14:textFill>
              </w:rPr>
            </w:pPr>
            <w:r>
              <w:rPr>
                <w:rFonts w:asciiTheme="minorEastAsia" w:hAnsiTheme="minorEastAsia" w:eastAsiaTheme="minorEastAsia" w:cstheme="majorEastAsia"/>
                <w:color w:val="000000" w:themeColor="text1"/>
                <w14:textFill>
                  <w14:solidFill>
                    <w14:schemeClr w14:val="tx1"/>
                  </w14:solidFill>
                </w14:textFill>
              </w:rPr>
              <w:t>7</w:t>
            </w:r>
          </w:p>
        </w:tc>
      </w:tr>
      <w:tr w14:paraId="4E8590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27" w:type="pct"/>
            <w:vAlign w:val="center"/>
          </w:tcPr>
          <w:p w14:paraId="17DDCF8A">
            <w:pPr>
              <w:widowControl/>
              <w:adjustRightInd w:val="0"/>
              <w:snapToGrid w:val="0"/>
              <w:jc w:val="center"/>
              <w:rPr>
                <w:rFonts w:asciiTheme="minorEastAsia" w:hAnsiTheme="minorEastAsia" w:eastAsiaTheme="minorEastAsia" w:cstheme="majorEastAsia"/>
                <w:color w:val="000000" w:themeColor="text1"/>
                <w14:textFill>
                  <w14:solidFill>
                    <w14:schemeClr w14:val="tx1"/>
                  </w14:solidFill>
                </w14:textFill>
              </w:rPr>
            </w:pPr>
            <w:r>
              <w:rPr>
                <w:rFonts w:hint="eastAsia" w:asciiTheme="minorEastAsia" w:hAnsiTheme="minorEastAsia" w:eastAsiaTheme="minorEastAsia"/>
                <w:color w:val="333333"/>
                <w:shd w:val="clear" w:color="auto" w:fill="FFFFFF"/>
              </w:rPr>
              <w:t>小菜蛾、</w:t>
            </w:r>
            <w:r>
              <w:rPr>
                <w:rFonts w:asciiTheme="minorEastAsia" w:hAnsiTheme="minorEastAsia" w:eastAsiaTheme="minorEastAsia"/>
                <w:color w:val="333333"/>
                <w:shd w:val="clear" w:color="auto" w:fill="FFFFFF"/>
              </w:rPr>
              <w:br w:type="textWrapping"/>
            </w:r>
            <w:r>
              <w:rPr>
                <w:rFonts w:hint="eastAsia" w:asciiTheme="minorEastAsia" w:hAnsiTheme="minorEastAsia" w:eastAsiaTheme="minorEastAsia"/>
                <w:color w:val="333333"/>
                <w:shd w:val="clear" w:color="auto" w:fill="FFFFFF"/>
              </w:rPr>
              <w:t>菜青虫</w:t>
            </w:r>
          </w:p>
        </w:tc>
        <w:tc>
          <w:tcPr>
            <w:tcW w:w="863" w:type="pct"/>
            <w:vAlign w:val="center"/>
          </w:tcPr>
          <w:p w14:paraId="0908B36E">
            <w:pPr>
              <w:widowControl/>
              <w:adjustRightInd w:val="0"/>
              <w:snapToGrid w:val="0"/>
              <w:jc w:val="center"/>
              <w:rPr>
                <w:rFonts w:asciiTheme="minorEastAsia" w:hAnsiTheme="minorEastAsia" w:eastAsiaTheme="minorEastAsia" w:cstheme="majorEastAsia"/>
                <w:color w:val="000000" w:themeColor="text1"/>
                <w14:textFill>
                  <w14:solidFill>
                    <w14:schemeClr w14:val="tx1"/>
                  </w14:solidFill>
                </w14:textFill>
              </w:rPr>
            </w:pPr>
            <w:r>
              <w:rPr>
                <w:rFonts w:hint="eastAsia" w:asciiTheme="minorEastAsia" w:hAnsiTheme="minorEastAsia" w:eastAsiaTheme="minorEastAsia"/>
                <w:color w:val="333333"/>
                <w:shd w:val="clear" w:color="auto" w:fill="FFFFFF"/>
              </w:rPr>
              <w:t>卵孵盛期至低龄幼虫期</w:t>
            </w:r>
          </w:p>
        </w:tc>
        <w:tc>
          <w:tcPr>
            <w:tcW w:w="1034" w:type="pct"/>
            <w:vAlign w:val="center"/>
          </w:tcPr>
          <w:p w14:paraId="2351ADFA">
            <w:pPr>
              <w:widowControl/>
              <w:adjustRightInd w:val="0"/>
              <w:snapToGrid w:val="0"/>
              <w:jc w:val="center"/>
              <w:rPr>
                <w:rFonts w:asciiTheme="minorEastAsia" w:hAnsiTheme="minorEastAsia" w:eastAsiaTheme="minorEastAsia" w:cstheme="majorEastAsia"/>
                <w:color w:val="000000" w:themeColor="text1"/>
                <w14:textFill>
                  <w14:solidFill>
                    <w14:schemeClr w14:val="tx1"/>
                  </w14:solidFill>
                </w14:textFill>
              </w:rPr>
            </w:pPr>
            <w:r>
              <w:rPr>
                <w:rFonts w:hint="eastAsia" w:asciiTheme="minorEastAsia" w:hAnsiTheme="minorEastAsia" w:eastAsiaTheme="minorEastAsia"/>
                <w:color w:val="333333"/>
                <w:shd w:val="clear" w:color="auto" w:fill="FFFFFF"/>
              </w:rPr>
              <w:t>8000IU/毫克苏云金杆菌可湿性粉剂</w:t>
            </w:r>
          </w:p>
        </w:tc>
        <w:tc>
          <w:tcPr>
            <w:tcW w:w="883" w:type="pct"/>
            <w:vAlign w:val="center"/>
          </w:tcPr>
          <w:p w14:paraId="57F3EF2E">
            <w:pPr>
              <w:widowControl/>
              <w:adjustRightInd w:val="0"/>
              <w:snapToGrid w:val="0"/>
              <w:jc w:val="center"/>
              <w:rPr>
                <w:rFonts w:asciiTheme="minorEastAsia" w:hAnsiTheme="minorEastAsia" w:eastAsiaTheme="minorEastAsia" w:cstheme="majorEastAsia"/>
                <w:color w:val="000000" w:themeColor="text1"/>
                <w14:textFill>
                  <w14:solidFill>
                    <w14:schemeClr w14:val="tx1"/>
                  </w14:solidFill>
                </w14:textFill>
              </w:rPr>
            </w:pPr>
            <w:r>
              <w:rPr>
                <w:rFonts w:asciiTheme="minorEastAsia" w:hAnsiTheme="minorEastAsia" w:eastAsiaTheme="minorEastAsia"/>
                <w:color w:val="333333"/>
                <w:shd w:val="clear" w:color="auto" w:fill="FFFFFF"/>
              </w:rPr>
              <w:t>50</w:t>
            </w:r>
            <w:r>
              <w:rPr>
                <w:rFonts w:hint="eastAsia" w:asciiTheme="minorEastAsia" w:hAnsiTheme="minorEastAsia" w:eastAsiaTheme="minorEastAsia"/>
                <w:color w:val="333333"/>
                <w:shd w:val="clear" w:color="auto" w:fill="FFFFFF"/>
              </w:rPr>
              <w:t>-100克/亩</w:t>
            </w:r>
          </w:p>
        </w:tc>
        <w:tc>
          <w:tcPr>
            <w:tcW w:w="716" w:type="pct"/>
            <w:vAlign w:val="center"/>
          </w:tcPr>
          <w:p w14:paraId="6A57E5D3">
            <w:pPr>
              <w:widowControl/>
              <w:adjustRightInd w:val="0"/>
              <w:snapToGrid w:val="0"/>
              <w:jc w:val="center"/>
              <w:rPr>
                <w:rFonts w:asciiTheme="minorEastAsia" w:hAnsiTheme="minorEastAsia" w:eastAsiaTheme="minorEastAsia" w:cstheme="majorEastAsia"/>
                <w:color w:val="000000" w:themeColor="text1"/>
                <w14:textFill>
                  <w14:solidFill>
                    <w14:schemeClr w14:val="tx1"/>
                  </w14:solidFill>
                </w14:textFill>
              </w:rPr>
            </w:pPr>
            <w:r>
              <w:rPr>
                <w:rFonts w:hint="eastAsia" w:asciiTheme="minorEastAsia" w:hAnsiTheme="minorEastAsia" w:eastAsiaTheme="minorEastAsia" w:cstheme="majorEastAsia"/>
                <w:color w:val="000000" w:themeColor="text1"/>
                <w14:textFill>
                  <w14:solidFill>
                    <w14:schemeClr w14:val="tx1"/>
                  </w14:solidFill>
                </w14:textFill>
              </w:rPr>
              <w:t>喷雾</w:t>
            </w:r>
          </w:p>
        </w:tc>
        <w:tc>
          <w:tcPr>
            <w:tcW w:w="677" w:type="pct"/>
            <w:vAlign w:val="center"/>
          </w:tcPr>
          <w:p w14:paraId="038DF573">
            <w:pPr>
              <w:widowControl/>
              <w:adjustRightInd w:val="0"/>
              <w:snapToGrid w:val="0"/>
              <w:jc w:val="center"/>
              <w:rPr>
                <w:rFonts w:asciiTheme="minorEastAsia" w:hAnsiTheme="minorEastAsia" w:eastAsiaTheme="minorEastAsia" w:cstheme="majorEastAsia"/>
                <w:color w:val="000000" w:themeColor="text1"/>
                <w14:textFill>
                  <w14:solidFill>
                    <w14:schemeClr w14:val="tx1"/>
                  </w14:solidFill>
                </w14:textFill>
              </w:rPr>
            </w:pPr>
            <w:r>
              <w:rPr>
                <w:rFonts w:asciiTheme="minorEastAsia" w:hAnsiTheme="minorEastAsia" w:eastAsiaTheme="minorEastAsia" w:cstheme="majorEastAsia"/>
                <w:color w:val="000000" w:themeColor="text1"/>
                <w14:textFill>
                  <w14:solidFill>
                    <w14:schemeClr w14:val="tx1"/>
                  </w14:solidFill>
                </w14:textFill>
              </w:rPr>
              <w:t>/</w:t>
            </w:r>
          </w:p>
        </w:tc>
      </w:tr>
      <w:tr w14:paraId="76F244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27" w:type="pct"/>
            <w:shd w:val="clear" w:color="auto" w:fill="auto"/>
            <w:vAlign w:val="center"/>
          </w:tcPr>
          <w:p w14:paraId="10BA92B3">
            <w:pPr>
              <w:widowControl/>
              <w:adjustRightInd w:val="0"/>
              <w:snapToGrid w:val="0"/>
              <w:jc w:val="center"/>
              <w:rPr>
                <w:rFonts w:asciiTheme="minorEastAsia" w:hAnsiTheme="minorEastAsia" w:eastAsiaTheme="minorEastAsia" w:cstheme="majorEastAsia"/>
                <w:color w:val="000000" w:themeColor="text1"/>
                <w14:textFill>
                  <w14:solidFill>
                    <w14:schemeClr w14:val="tx1"/>
                  </w14:solidFill>
                </w14:textFill>
              </w:rPr>
            </w:pPr>
            <w:r>
              <w:rPr>
                <w:rFonts w:hint="eastAsia" w:asciiTheme="minorEastAsia" w:hAnsiTheme="minorEastAsia" w:eastAsiaTheme="minorEastAsia" w:cstheme="majorEastAsia"/>
                <w:color w:val="000000" w:themeColor="text1"/>
                <w14:textFill>
                  <w14:solidFill>
                    <w14:schemeClr w14:val="tx1"/>
                  </w14:solidFill>
                </w14:textFill>
              </w:rPr>
              <w:t>棉铃虫</w:t>
            </w:r>
          </w:p>
        </w:tc>
        <w:tc>
          <w:tcPr>
            <w:tcW w:w="863" w:type="pct"/>
            <w:shd w:val="clear" w:color="auto" w:fill="auto"/>
            <w:vAlign w:val="center"/>
          </w:tcPr>
          <w:p w14:paraId="5E9E5FE1">
            <w:pPr>
              <w:widowControl/>
              <w:adjustRightInd w:val="0"/>
              <w:snapToGrid w:val="0"/>
              <w:jc w:val="center"/>
              <w:rPr>
                <w:rFonts w:asciiTheme="minorEastAsia" w:hAnsiTheme="minorEastAsia" w:eastAsiaTheme="minorEastAsia" w:cstheme="majorEastAsia"/>
                <w:color w:val="000000" w:themeColor="text1"/>
                <w14:textFill>
                  <w14:solidFill>
                    <w14:schemeClr w14:val="tx1"/>
                  </w14:solidFill>
                </w14:textFill>
              </w:rPr>
            </w:pPr>
            <w:r>
              <w:rPr>
                <w:rFonts w:hint="eastAsia" w:asciiTheme="minorEastAsia" w:hAnsiTheme="minorEastAsia" w:eastAsiaTheme="minorEastAsia" w:cstheme="majorEastAsia"/>
                <w:color w:val="000000" w:themeColor="text1"/>
                <w14:textFill>
                  <w14:solidFill>
                    <w14:schemeClr w14:val="tx1"/>
                  </w14:solidFill>
                </w14:textFill>
              </w:rPr>
              <w:t>在棉铃虫幼虫初孵期</w:t>
            </w:r>
          </w:p>
        </w:tc>
        <w:tc>
          <w:tcPr>
            <w:tcW w:w="1034" w:type="pct"/>
            <w:vAlign w:val="center"/>
          </w:tcPr>
          <w:p w14:paraId="4E79B22D">
            <w:pPr>
              <w:widowControl/>
              <w:adjustRightInd w:val="0"/>
              <w:snapToGrid w:val="0"/>
              <w:jc w:val="center"/>
              <w:rPr>
                <w:rFonts w:asciiTheme="minorEastAsia" w:hAnsiTheme="minorEastAsia" w:eastAsiaTheme="minorEastAsia" w:cstheme="majorEastAsia"/>
                <w:color w:val="000000" w:themeColor="text1"/>
                <w14:textFill>
                  <w14:solidFill>
                    <w14:schemeClr w14:val="tx1"/>
                  </w14:solidFill>
                </w14:textFill>
              </w:rPr>
            </w:pPr>
            <w:r>
              <w:rPr>
                <w:rFonts w:asciiTheme="minorEastAsia" w:hAnsiTheme="minorEastAsia" w:eastAsiaTheme="minorEastAsia" w:cstheme="majorEastAsia"/>
                <w:color w:val="000000" w:themeColor="text1"/>
                <w14:textFill>
                  <w14:solidFill>
                    <w14:schemeClr w14:val="tx1"/>
                  </w14:solidFill>
                </w14:textFill>
              </w:rPr>
              <w:t>4.5%</w:t>
            </w:r>
            <w:bookmarkStart w:id="9" w:name="OLE_LINK13"/>
            <w:r>
              <w:rPr>
                <w:rFonts w:hint="eastAsia" w:asciiTheme="minorEastAsia" w:hAnsiTheme="minorEastAsia" w:eastAsiaTheme="minorEastAsia" w:cstheme="majorEastAsia"/>
                <w:color w:val="000000" w:themeColor="text1"/>
                <w14:textFill>
                  <w14:solidFill>
                    <w14:schemeClr w14:val="tx1"/>
                  </w14:solidFill>
                </w14:textFill>
              </w:rPr>
              <w:t>高效氯氰菊酯</w:t>
            </w:r>
            <w:bookmarkEnd w:id="9"/>
            <w:r>
              <w:rPr>
                <w:rFonts w:hint="eastAsia" w:asciiTheme="minorEastAsia" w:hAnsiTheme="minorEastAsia" w:eastAsiaTheme="minorEastAsia" w:cstheme="majorEastAsia"/>
                <w:color w:val="000000" w:themeColor="text1"/>
                <w14:textFill>
                  <w14:solidFill>
                    <w14:schemeClr w14:val="tx1"/>
                  </w14:solidFill>
                </w14:textFill>
              </w:rPr>
              <w:t>乳油</w:t>
            </w:r>
          </w:p>
        </w:tc>
        <w:tc>
          <w:tcPr>
            <w:tcW w:w="883" w:type="pct"/>
            <w:vAlign w:val="center"/>
          </w:tcPr>
          <w:p w14:paraId="6A27C05C">
            <w:pPr>
              <w:widowControl/>
              <w:adjustRightInd w:val="0"/>
              <w:snapToGrid w:val="0"/>
              <w:jc w:val="center"/>
              <w:rPr>
                <w:rFonts w:asciiTheme="minorEastAsia" w:hAnsiTheme="minorEastAsia" w:eastAsiaTheme="minorEastAsia" w:cstheme="majorEastAsia"/>
                <w:color w:val="000000" w:themeColor="text1"/>
                <w14:textFill>
                  <w14:solidFill>
                    <w14:schemeClr w14:val="tx1"/>
                  </w14:solidFill>
                </w14:textFill>
              </w:rPr>
            </w:pPr>
            <w:r>
              <w:rPr>
                <w:rFonts w:hint="eastAsia" w:asciiTheme="minorEastAsia" w:hAnsiTheme="minorEastAsia" w:eastAsiaTheme="minorEastAsia" w:cstheme="majorEastAsia"/>
                <w:color w:val="000000" w:themeColor="text1"/>
                <w14:textFill>
                  <w14:solidFill>
                    <w14:schemeClr w14:val="tx1"/>
                  </w14:solidFill>
                </w14:textFill>
              </w:rPr>
              <w:t>15-40毫升/亩</w:t>
            </w:r>
          </w:p>
        </w:tc>
        <w:tc>
          <w:tcPr>
            <w:tcW w:w="716" w:type="pct"/>
            <w:vAlign w:val="center"/>
          </w:tcPr>
          <w:p w14:paraId="3CF7BE4E">
            <w:pPr>
              <w:widowControl/>
              <w:adjustRightInd w:val="0"/>
              <w:snapToGrid w:val="0"/>
              <w:jc w:val="center"/>
              <w:rPr>
                <w:rFonts w:asciiTheme="minorEastAsia" w:hAnsiTheme="minorEastAsia" w:eastAsiaTheme="minorEastAsia" w:cstheme="majorEastAsia"/>
                <w:color w:val="000000" w:themeColor="text1"/>
                <w14:textFill>
                  <w14:solidFill>
                    <w14:schemeClr w14:val="tx1"/>
                  </w14:solidFill>
                </w14:textFill>
              </w:rPr>
            </w:pPr>
            <w:r>
              <w:rPr>
                <w:rFonts w:hint="eastAsia" w:asciiTheme="minorEastAsia" w:hAnsiTheme="minorEastAsia" w:eastAsiaTheme="minorEastAsia" w:cstheme="majorEastAsia"/>
                <w:color w:val="000000" w:themeColor="text1"/>
                <w14:textFill>
                  <w14:solidFill>
                    <w14:schemeClr w14:val="tx1"/>
                  </w14:solidFill>
                </w14:textFill>
              </w:rPr>
              <w:t>喷雾</w:t>
            </w:r>
          </w:p>
        </w:tc>
        <w:tc>
          <w:tcPr>
            <w:tcW w:w="677" w:type="pct"/>
            <w:vAlign w:val="center"/>
          </w:tcPr>
          <w:p w14:paraId="4AF6D764">
            <w:pPr>
              <w:widowControl/>
              <w:adjustRightInd w:val="0"/>
              <w:snapToGrid w:val="0"/>
              <w:jc w:val="center"/>
              <w:rPr>
                <w:rFonts w:asciiTheme="minorEastAsia" w:hAnsiTheme="minorEastAsia" w:eastAsiaTheme="minorEastAsia" w:cstheme="majorEastAsia"/>
                <w:color w:val="000000" w:themeColor="text1"/>
                <w14:textFill>
                  <w14:solidFill>
                    <w14:schemeClr w14:val="tx1"/>
                  </w14:solidFill>
                </w14:textFill>
              </w:rPr>
            </w:pPr>
            <w:r>
              <w:rPr>
                <w:rFonts w:asciiTheme="minorEastAsia" w:hAnsiTheme="minorEastAsia" w:eastAsiaTheme="minorEastAsia" w:cstheme="majorEastAsia"/>
                <w:color w:val="000000" w:themeColor="text1"/>
                <w14:textFill>
                  <w14:solidFill>
                    <w14:schemeClr w14:val="tx1"/>
                  </w14:solidFill>
                </w14:textFill>
              </w:rPr>
              <w:t>7</w:t>
            </w:r>
          </w:p>
        </w:tc>
      </w:tr>
      <w:tr w14:paraId="00C637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27" w:type="pct"/>
            <w:vAlign w:val="center"/>
          </w:tcPr>
          <w:p w14:paraId="2C16DD53">
            <w:pPr>
              <w:widowControl/>
              <w:adjustRightInd w:val="0"/>
              <w:snapToGrid w:val="0"/>
              <w:jc w:val="center"/>
              <w:rPr>
                <w:rFonts w:asciiTheme="minorEastAsia" w:hAnsiTheme="minorEastAsia" w:eastAsiaTheme="minorEastAsia" w:cstheme="minorEastAsia"/>
                <w:color w:val="000000" w:themeColor="text1"/>
                <w14:textFill>
                  <w14:solidFill>
                    <w14:schemeClr w14:val="tx1"/>
                  </w14:solidFill>
                </w14:textFill>
              </w:rPr>
            </w:pPr>
            <w:r>
              <w:rPr>
                <w:rFonts w:hint="eastAsia" w:asciiTheme="minorEastAsia" w:hAnsiTheme="minorEastAsia" w:eastAsiaTheme="minorEastAsia" w:cstheme="minorEastAsia"/>
                <w:color w:val="000000" w:themeColor="text1"/>
                <w14:textFill>
                  <w14:solidFill>
                    <w14:schemeClr w14:val="tx1"/>
                  </w14:solidFill>
                </w14:textFill>
              </w:rPr>
              <w:t>造桥虫等多种害虫</w:t>
            </w:r>
          </w:p>
        </w:tc>
        <w:tc>
          <w:tcPr>
            <w:tcW w:w="863" w:type="pct"/>
            <w:vAlign w:val="center"/>
          </w:tcPr>
          <w:p w14:paraId="732E15CC">
            <w:pPr>
              <w:widowControl/>
              <w:adjustRightInd w:val="0"/>
              <w:snapToGrid w:val="0"/>
              <w:jc w:val="center"/>
              <w:rPr>
                <w:rFonts w:asciiTheme="minorEastAsia" w:hAnsiTheme="minorEastAsia" w:eastAsiaTheme="minorEastAsia" w:cstheme="minorEastAsia"/>
                <w:color w:val="000000" w:themeColor="text1"/>
                <w14:textFill>
                  <w14:solidFill>
                    <w14:schemeClr w14:val="tx1"/>
                  </w14:solidFill>
                </w14:textFill>
              </w:rPr>
            </w:pPr>
            <w:r>
              <w:rPr>
                <w:rFonts w:hint="eastAsia" w:asciiTheme="minorEastAsia" w:hAnsiTheme="minorEastAsia" w:eastAsiaTheme="minorEastAsia" w:cstheme="minorEastAsia"/>
                <w:color w:val="000000" w:themeColor="text1"/>
                <w14:textFill>
                  <w14:solidFill>
                    <w14:schemeClr w14:val="tx1"/>
                  </w14:solidFill>
                </w14:textFill>
              </w:rPr>
              <w:t>低龄幼虫盛发期</w:t>
            </w:r>
          </w:p>
        </w:tc>
        <w:tc>
          <w:tcPr>
            <w:tcW w:w="1034" w:type="pct"/>
            <w:vAlign w:val="center"/>
          </w:tcPr>
          <w:p w14:paraId="3B9818D8">
            <w:pPr>
              <w:widowControl/>
              <w:adjustRightInd w:val="0"/>
              <w:snapToGrid w:val="0"/>
              <w:jc w:val="center"/>
              <w:rPr>
                <w:rFonts w:asciiTheme="minorEastAsia" w:hAnsiTheme="minorEastAsia" w:eastAsiaTheme="minorEastAsia" w:cstheme="minorEastAsia"/>
                <w:color w:val="000000" w:themeColor="text1"/>
                <w14:textFill>
                  <w14:solidFill>
                    <w14:schemeClr w14:val="tx1"/>
                  </w14:solidFill>
                </w14:textFill>
              </w:rPr>
            </w:pPr>
            <w:r>
              <w:rPr>
                <w:rFonts w:asciiTheme="minorEastAsia" w:hAnsiTheme="minorEastAsia" w:eastAsiaTheme="minorEastAsia" w:cstheme="minorEastAsia"/>
                <w:color w:val="000000" w:themeColor="text1"/>
                <w14:textFill>
                  <w14:solidFill>
                    <w14:schemeClr w14:val="tx1"/>
                  </w14:solidFill>
                </w14:textFill>
              </w:rPr>
              <w:t>18%</w:t>
            </w:r>
            <w:bookmarkStart w:id="10" w:name="OLE_LINK11"/>
            <w:bookmarkStart w:id="11" w:name="OLE_LINK12"/>
            <w:r>
              <w:rPr>
                <w:rFonts w:hint="eastAsia" w:asciiTheme="minorEastAsia" w:hAnsiTheme="minorEastAsia" w:eastAsiaTheme="minorEastAsia" w:cstheme="minorEastAsia"/>
                <w:color w:val="000000" w:themeColor="text1"/>
                <w14:textFill>
                  <w14:solidFill>
                    <w14:schemeClr w14:val="tx1"/>
                  </w14:solidFill>
                </w14:textFill>
              </w:rPr>
              <w:t>杀虫双</w:t>
            </w:r>
            <w:bookmarkEnd w:id="10"/>
            <w:bookmarkEnd w:id="11"/>
            <w:r>
              <w:rPr>
                <w:rFonts w:hint="eastAsia" w:asciiTheme="minorEastAsia" w:hAnsiTheme="minorEastAsia" w:eastAsiaTheme="minorEastAsia" w:cstheme="minorEastAsia"/>
                <w:color w:val="000000" w:themeColor="text1"/>
                <w14:textFill>
                  <w14:solidFill>
                    <w14:schemeClr w14:val="tx1"/>
                  </w14:solidFill>
                </w14:textFill>
              </w:rPr>
              <w:t>水剂</w:t>
            </w:r>
          </w:p>
        </w:tc>
        <w:tc>
          <w:tcPr>
            <w:tcW w:w="883" w:type="pct"/>
            <w:vAlign w:val="center"/>
          </w:tcPr>
          <w:p w14:paraId="2D27DD3C">
            <w:pPr>
              <w:widowControl/>
              <w:adjustRightInd w:val="0"/>
              <w:snapToGrid w:val="0"/>
              <w:jc w:val="center"/>
              <w:rPr>
                <w:rFonts w:asciiTheme="minorEastAsia" w:hAnsiTheme="minorEastAsia" w:eastAsiaTheme="minorEastAsia" w:cstheme="minorEastAsia"/>
                <w:color w:val="000000" w:themeColor="text1"/>
                <w14:textFill>
                  <w14:solidFill>
                    <w14:schemeClr w14:val="tx1"/>
                  </w14:solidFill>
                </w14:textFill>
              </w:rPr>
            </w:pPr>
            <w:r>
              <w:rPr>
                <w:rFonts w:asciiTheme="minorEastAsia" w:hAnsiTheme="minorEastAsia" w:eastAsiaTheme="minorEastAsia" w:cstheme="minorEastAsia"/>
                <w:color w:val="000000" w:themeColor="text1"/>
                <w14:textFill>
                  <w14:solidFill>
                    <w14:schemeClr w14:val="tx1"/>
                  </w14:solidFill>
                </w14:textFill>
              </w:rPr>
              <w:t>200-250</w:t>
            </w:r>
            <w:r>
              <w:rPr>
                <w:rFonts w:hint="eastAsia" w:asciiTheme="minorEastAsia" w:hAnsiTheme="minorEastAsia" w:eastAsiaTheme="minorEastAsia" w:cstheme="minorEastAsia"/>
                <w:color w:val="000000" w:themeColor="text1"/>
                <w14:textFill>
                  <w14:solidFill>
                    <w14:schemeClr w14:val="tx1"/>
                  </w14:solidFill>
                </w14:textFill>
              </w:rPr>
              <w:t>毫升/亩</w:t>
            </w:r>
          </w:p>
        </w:tc>
        <w:tc>
          <w:tcPr>
            <w:tcW w:w="716" w:type="pct"/>
            <w:vAlign w:val="center"/>
          </w:tcPr>
          <w:p w14:paraId="662A83CB">
            <w:pPr>
              <w:widowControl/>
              <w:adjustRightInd w:val="0"/>
              <w:snapToGrid w:val="0"/>
              <w:jc w:val="center"/>
              <w:rPr>
                <w:rFonts w:asciiTheme="minorEastAsia" w:hAnsiTheme="minorEastAsia" w:eastAsiaTheme="minorEastAsia" w:cstheme="minorEastAsia"/>
                <w:color w:val="000000" w:themeColor="text1"/>
                <w14:textFill>
                  <w14:solidFill>
                    <w14:schemeClr w14:val="tx1"/>
                  </w14:solidFill>
                </w14:textFill>
              </w:rPr>
            </w:pPr>
            <w:r>
              <w:rPr>
                <w:rFonts w:hint="eastAsia" w:asciiTheme="minorEastAsia" w:hAnsiTheme="minorEastAsia" w:eastAsiaTheme="minorEastAsia" w:cstheme="minorEastAsia"/>
                <w:color w:val="000000" w:themeColor="text1"/>
                <w14:textFill>
                  <w14:solidFill>
                    <w14:schemeClr w14:val="tx1"/>
                  </w14:solidFill>
                </w14:textFill>
              </w:rPr>
              <w:t>喷雾</w:t>
            </w:r>
          </w:p>
        </w:tc>
        <w:tc>
          <w:tcPr>
            <w:tcW w:w="677" w:type="pct"/>
            <w:vAlign w:val="center"/>
          </w:tcPr>
          <w:p w14:paraId="303B270A">
            <w:pPr>
              <w:widowControl/>
              <w:adjustRightInd w:val="0"/>
              <w:snapToGrid w:val="0"/>
              <w:jc w:val="center"/>
              <w:rPr>
                <w:rFonts w:asciiTheme="minorEastAsia" w:hAnsiTheme="minorEastAsia" w:eastAsiaTheme="minorEastAsia" w:cstheme="minorEastAsia"/>
                <w:color w:val="000000" w:themeColor="text1"/>
                <w14:textFill>
                  <w14:solidFill>
                    <w14:schemeClr w14:val="tx1"/>
                  </w14:solidFill>
                </w14:textFill>
              </w:rPr>
            </w:pPr>
            <w:r>
              <w:rPr>
                <w:rFonts w:asciiTheme="minorEastAsia" w:hAnsiTheme="minorEastAsia" w:eastAsiaTheme="minorEastAsia" w:cstheme="minorEastAsia"/>
                <w:color w:val="000000" w:themeColor="text1"/>
                <w14:textFill>
                  <w14:solidFill>
                    <w14:schemeClr w14:val="tx1"/>
                  </w14:solidFill>
                </w14:textFill>
              </w:rPr>
              <w:t>15</w:t>
            </w:r>
          </w:p>
        </w:tc>
      </w:tr>
    </w:tbl>
    <w:p w14:paraId="70457E3A">
      <w:pPr>
        <w:contextualSpacing/>
        <w:jc w:val="center"/>
        <w:rPr>
          <w:rFonts w:eastAsia="黑体"/>
          <w:kern w:val="0"/>
        </w:rPr>
      </w:pPr>
      <w:r>
        <w:rPr>
          <w:rFonts w:hint="eastAsia" w:eastAsia="黑体"/>
          <w:kern w:val="0"/>
        </w:rPr>
        <w:t xml:space="preserve">表A.1 北方地区 </w:t>
      </w:r>
      <w:r>
        <w:rPr>
          <w:rFonts w:hint="eastAsia" w:eastAsia="黑体" w:cs="黑体"/>
          <w:kern w:val="0"/>
        </w:rPr>
        <w:t>绿色食品露地秋葵生产主要病虫害防治推荐农药使用方案</w:t>
      </w:r>
    </w:p>
    <w:p w14:paraId="260FFCCC">
      <w:pPr>
        <w:contextualSpacing/>
        <w:jc w:val="center"/>
        <w:rPr>
          <w:rFonts w:eastAsia="黑体"/>
          <w:kern w:val="0"/>
        </w:rPr>
      </w:pPr>
    </w:p>
    <w:p w14:paraId="216062A7">
      <w:r>
        <w:rPr>
          <w:rFonts w:eastAsia="黑体"/>
          <w:kern w:val="0"/>
        </w:rPr>
        <mc:AlternateContent>
          <mc:Choice Requires="wps">
            <w:drawing>
              <wp:anchor distT="0" distB="0" distL="114300" distR="114300" simplePos="0" relativeHeight="251662336" behindDoc="0" locked="0" layoutInCell="1" allowOverlap="1">
                <wp:simplePos x="0" y="0"/>
                <wp:positionH relativeFrom="column">
                  <wp:posOffset>1567180</wp:posOffset>
                </wp:positionH>
                <wp:positionV relativeFrom="paragraph">
                  <wp:posOffset>153035</wp:posOffset>
                </wp:positionV>
                <wp:extent cx="2002155" cy="0"/>
                <wp:effectExtent l="0" t="0" r="36830" b="19050"/>
                <wp:wrapNone/>
                <wp:docPr id="3" name="直接连接符 3"/>
                <wp:cNvGraphicFramePr/>
                <a:graphic xmlns:a="http://schemas.openxmlformats.org/drawingml/2006/main">
                  <a:graphicData uri="http://schemas.microsoft.com/office/word/2010/wordprocessingShape">
                    <wps:wsp>
                      <wps:cNvCnPr/>
                      <wps:spPr>
                        <a:xfrm>
                          <a:off x="0" y="0"/>
                          <a:ext cx="2001982"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_x0000_s1026" o:spid="_x0000_s1026" o:spt="20" style="position:absolute;left:0pt;margin-left:123.4pt;margin-top:12.05pt;height:0pt;width:157.65pt;z-index:251662336;mso-width-relative:page;mso-height-relative:page;" filled="f" stroked="t" coordsize="21600,21600" o:gfxdata="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1pvBPtUAAAAJAQAADwAAAAAAAAABACAA&#10;AAAiAAAAZHJzL2Rvd25yZXYueG1sUEsBAhQAFAAAAAgAh07iQG1QRuvXAQAAmgMAAA4AAAAAAAAA&#10;AQAgAAAAJAEAAGRycy9lMm9Eb2MueG1sUEsFBgAAAAAGAAYAWQEAAG0FAAAAAA==&#10;">
                <v:fill on="f" focussize="0,0"/>
                <v:stroke color="#000000 [3213]" joinstyle="round"/>
                <v:imagedata o:title=""/>
                <o:lock v:ext="edit" aspectratio="f"/>
              </v:line>
            </w:pict>
          </mc:Fallback>
        </mc:AlternateContent>
      </w:r>
      <w:bookmarkStart w:id="12" w:name="DW"/>
      <w:bookmarkEnd w:id="12"/>
    </w:p>
    <w:sectPr>
      <w:footerReference r:id="rId6" w:type="default"/>
      <w:footerReference r:id="rId7" w:type="even"/>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ourier New">
    <w:panose1 w:val="02070309020205020404"/>
    <w:charset w:val="00"/>
    <w:family w:val="modern"/>
    <w:pitch w:val="default"/>
    <w:sig w:usb0="E0002AFF" w:usb1="C0007843" w:usb2="00000009" w:usb3="00000000" w:csb0="400001FF" w:csb1="FFFF0000"/>
  </w:font>
  <w:font w:name="微软雅黑">
    <w:panose1 w:val="020B0503020204020204"/>
    <w:charset w:val="86"/>
    <w:family w:val="swiss"/>
    <w:pitch w:val="default"/>
    <w:sig w:usb0="80000287" w:usb1="280F3C52" w:usb2="00000016" w:usb3="00000000" w:csb0="0004001F" w:csb1="0000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C41C940">
    <w:pPr>
      <w:pStyle w:val="25"/>
      <w:ind w:right="0"/>
      <w:rPr>
        <w:rFonts w:ascii="Times New Roman" w:cs="Times New Roman"/>
      </w:rPr>
    </w:pPr>
    <w:r>
      <w:rPr>
        <w:rFonts w:ascii="Times New Roman" w:cs="Times New Roman"/>
      </w:rPr>
      <w:fldChar w:fldCharType="begin"/>
    </w:r>
    <w:r>
      <w:rPr>
        <w:rFonts w:ascii="Times New Roman" w:cs="Times New Roman"/>
      </w:rPr>
      <w:instrText xml:space="preserve"> PAGE  \* MERGEFORMAT </w:instrText>
    </w:r>
    <w:r>
      <w:rPr>
        <w:rFonts w:ascii="Times New Roman" w:cs="Times New Roman"/>
      </w:rPr>
      <w:fldChar w:fldCharType="separate"/>
    </w:r>
    <w:r>
      <w:rPr>
        <w:rFonts w:ascii="Times New Roman" w:cs="Times New Roman"/>
      </w:rPr>
      <w:t>1</w:t>
    </w:r>
    <w:r>
      <w:rPr>
        <w:rFonts w:ascii="Times New Roman" w:cs="Times New Roman"/>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804989147"/>
      <w:docPartObj>
        <w:docPartGallery w:val="AutoText"/>
      </w:docPartObj>
    </w:sdtPr>
    <w:sdtContent>
      <w:p w14:paraId="5B87F237">
        <w:pPr>
          <w:pStyle w:val="5"/>
        </w:pPr>
        <w:r>
          <w:fldChar w:fldCharType="begin"/>
        </w:r>
        <w:r>
          <w:instrText xml:space="preserve">PAGE   \* MERGEFORMAT</w:instrText>
        </w:r>
        <w:r>
          <w:fldChar w:fldCharType="separate"/>
        </w:r>
        <w:r>
          <w:rPr>
            <w:lang w:val="zh-CN"/>
          </w:rPr>
          <w:t>4</w:t>
        </w:r>
        <w:r>
          <w:fldChar w:fldCharType="end"/>
        </w:r>
      </w:p>
    </w:sdtContent>
  </w:sdt>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A195034">
    <w:pPr>
      <w:pStyle w:val="6"/>
      <w:pBdr>
        <w:bottom w:val="none" w:color="auto" w:sz="0" w:space="0"/>
      </w:pBdr>
    </w:pPr>
    <w:r>
      <w:pict>
        <v:shape id="WordPictureWatermark28495815" o:spid="_x0000_s2051" o:spt="75" type="#_x0000_t75" style="position:absolute;left:0pt;height:435.85pt;width:467.65pt;mso-position-horizontal:center;mso-position-horizontal-relative:margin;mso-position-vertical:center;mso-position-vertical-relative:margin;z-index:-251655168;mso-width-relative:page;mso-height-relative:page;" filled="f" o:preferrelative="t" stroked="f" coordsize="21600,21600" o:allowincell="f">
          <v:path/>
          <v:fill on="f" focussize="0,0"/>
          <v:stroke on="f" joinstyle="miter"/>
          <v:imagedata r:id="rId1" gain="19661f" blacklevel="22938f" o:title="绿标png"/>
          <o:lock v:ext="edit" aspectratio="t"/>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A275B86">
    <w:pPr>
      <w:pStyle w:val="6"/>
      <w:pBdr>
        <w:bottom w:val="none" w:color="auto" w:sz="0" w:space="0"/>
      </w:pBdr>
    </w:pPr>
    <w:r>
      <w:pict>
        <v:shape id="WordPictureWatermark28495814" o:spid="_x0000_s2050" o:spt="75" type="#_x0000_t75" style="position:absolute;left:0pt;height:435.85pt;width:467.65pt;mso-position-horizontal:center;mso-position-horizontal-relative:margin;mso-position-vertical:center;mso-position-vertical-relative:margin;z-index:-251656192;mso-width-relative:page;mso-height-relative:page;" filled="f" o:preferrelative="t" stroked="f" coordsize="21600,21600" o:allowincell="f">
          <v:path/>
          <v:fill on="f" focussize="0,0"/>
          <v:stroke on="f" joinstyle="miter"/>
          <v:imagedata r:id="rId1" gain="19661f" blacklevel="22938f" o:title="绿标png"/>
          <o:lock v:ext="edit" aspectratio="t"/>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D937C6B">
    <w:pPr>
      <w:pStyle w:val="6"/>
    </w:pPr>
    <w:r>
      <w:pict>
        <v:shape id="WordPictureWatermark28495813" o:spid="_x0000_s2049" o:spt="75" type="#_x0000_t75" style="position:absolute;left:0pt;height:435.85pt;width:467.65pt;mso-position-horizontal:center;mso-position-horizontal-relative:margin;mso-position-vertical:center;mso-position-vertical-relative:margin;z-index:-251657216;mso-width-relative:page;mso-height-relative:page;" filled="f" o:preferrelative="t" stroked="f" coordsize="21600,21600" o:allowincell="f">
          <v:path/>
          <v:fill on="f" focussize="0,0"/>
          <v:stroke on="f" joinstyle="miter"/>
          <v:imagedata r:id="rId1" gain="19661f" blacklevel="22938f" o:title="绿标png"/>
          <o:lock v:ext="edit" aspectratio="t"/>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39E79BF"/>
    <w:multiLevelType w:val="multilevel"/>
    <w:tmpl w:val="639E79BF"/>
    <w:lvl w:ilvl="0" w:tentative="0">
      <w:start w:val="1"/>
      <w:numFmt w:val="decimal"/>
      <w:pStyle w:val="23"/>
      <w:lvlText w:val="%1."/>
      <w:lvlJc w:val="left"/>
      <w:pPr>
        <w:tabs>
          <w:tab w:val="left" w:pos="720"/>
        </w:tabs>
        <w:ind w:left="720" w:hanging="720"/>
      </w:pPr>
    </w:lvl>
    <w:lvl w:ilvl="1" w:tentative="0">
      <w:start w:val="1"/>
      <w:numFmt w:val="decimal"/>
      <w:pStyle w:val="22"/>
      <w:lvlText w:val="%2."/>
      <w:lvlJc w:val="left"/>
      <w:pPr>
        <w:tabs>
          <w:tab w:val="left" w:pos="1440"/>
        </w:tabs>
        <w:ind w:left="1440" w:hanging="720"/>
      </w:pPr>
    </w:lvl>
    <w:lvl w:ilvl="2" w:tentative="0">
      <w:start w:val="1"/>
      <w:numFmt w:val="decimal"/>
      <w:pStyle w:val="21"/>
      <w:lvlText w:val="%3."/>
      <w:lvlJc w:val="left"/>
      <w:pPr>
        <w:tabs>
          <w:tab w:val="left" w:pos="2160"/>
        </w:tabs>
        <w:ind w:left="2160" w:hanging="720"/>
      </w:pPr>
    </w:lvl>
    <w:lvl w:ilvl="3" w:tentative="0">
      <w:start w:val="1"/>
      <w:numFmt w:val="decimal"/>
      <w:pStyle w:val="24"/>
      <w:lvlText w:val="%4."/>
      <w:lvlJc w:val="left"/>
      <w:pPr>
        <w:tabs>
          <w:tab w:val="left" w:pos="2880"/>
        </w:tabs>
        <w:ind w:left="2880" w:hanging="720"/>
      </w:pPr>
    </w:lvl>
    <w:lvl w:ilvl="4" w:tentative="0">
      <w:start w:val="1"/>
      <w:numFmt w:val="decimal"/>
      <w:lvlText w:val="%5."/>
      <w:lvlJc w:val="left"/>
      <w:pPr>
        <w:tabs>
          <w:tab w:val="left" w:pos="3600"/>
        </w:tabs>
        <w:ind w:left="3600" w:hanging="720"/>
      </w:pPr>
    </w:lvl>
    <w:lvl w:ilvl="5" w:tentative="0">
      <w:start w:val="1"/>
      <w:numFmt w:val="decimal"/>
      <w:lvlText w:val="%6."/>
      <w:lvlJc w:val="left"/>
      <w:pPr>
        <w:tabs>
          <w:tab w:val="left" w:pos="4320"/>
        </w:tabs>
        <w:ind w:left="4320" w:hanging="720"/>
      </w:pPr>
    </w:lvl>
    <w:lvl w:ilvl="6" w:tentative="0">
      <w:start w:val="1"/>
      <w:numFmt w:val="decimal"/>
      <w:lvlText w:val="%7."/>
      <w:lvlJc w:val="left"/>
      <w:pPr>
        <w:tabs>
          <w:tab w:val="left" w:pos="5040"/>
        </w:tabs>
        <w:ind w:left="5040" w:hanging="720"/>
      </w:pPr>
    </w:lvl>
    <w:lvl w:ilvl="7" w:tentative="0">
      <w:start w:val="1"/>
      <w:numFmt w:val="decimal"/>
      <w:lvlText w:val="%8."/>
      <w:lvlJc w:val="left"/>
      <w:pPr>
        <w:tabs>
          <w:tab w:val="left" w:pos="5760"/>
        </w:tabs>
        <w:ind w:left="5760" w:hanging="720"/>
      </w:pPr>
    </w:lvl>
    <w:lvl w:ilvl="8" w:tentative="0">
      <w:start w:val="1"/>
      <w:numFmt w:val="decimal"/>
      <w:lvlText w:val="%9."/>
      <w:lvlJc w:val="left"/>
      <w:pPr>
        <w:tabs>
          <w:tab w:val="left" w:pos="6480"/>
        </w:tabs>
        <w:ind w:left="6480" w:hanging="7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NotTrackMoves/>
  <w:documentProtection w:enforcement="0"/>
  <w:defaultTabStop w:val="420"/>
  <w:doNotHyphenateCaps/>
  <w:evenAndOddHeaders w:val="1"/>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layout v:ext="edit">
      <o:idmap v:ext="edit" data="2"/>
    </o:shapelayout>
  </w:hdrShapeDefaults>
  <w:compat>
    <w:spaceForUL/>
    <w:balanceSingleByteDoubleByteWidth/>
    <w:doNotLeaveBackslashAlone/>
    <w:ulTrailSpace/>
    <w:doNotExpandShiftReturn/>
    <w:adjustLineHeightInTable/>
    <w:useFELayout/>
    <w:doNotUseIndentAsNumberingTabStop/>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NlZjhiMDc1NGIyYzEwYjUwMTUxNWU0M2VjZDVlY2YifQ=="/>
  </w:docVars>
  <w:rsids>
    <w:rsidRoot w:val="006C69E3"/>
    <w:rsid w:val="00007429"/>
    <w:rsid w:val="00014DAB"/>
    <w:rsid w:val="00021069"/>
    <w:rsid w:val="00023429"/>
    <w:rsid w:val="00027F57"/>
    <w:rsid w:val="000365FB"/>
    <w:rsid w:val="00036DED"/>
    <w:rsid w:val="000414ED"/>
    <w:rsid w:val="00047C5C"/>
    <w:rsid w:val="00063E85"/>
    <w:rsid w:val="00066381"/>
    <w:rsid w:val="00071FF9"/>
    <w:rsid w:val="00077C16"/>
    <w:rsid w:val="0008279C"/>
    <w:rsid w:val="000929F6"/>
    <w:rsid w:val="0009380A"/>
    <w:rsid w:val="00096E1E"/>
    <w:rsid w:val="000A05C5"/>
    <w:rsid w:val="000A05F0"/>
    <w:rsid w:val="000B53FC"/>
    <w:rsid w:val="000B563E"/>
    <w:rsid w:val="000C3F9D"/>
    <w:rsid w:val="000C4E29"/>
    <w:rsid w:val="000C64F4"/>
    <w:rsid w:val="000C69BE"/>
    <w:rsid w:val="000D107B"/>
    <w:rsid w:val="000D410F"/>
    <w:rsid w:val="000E193C"/>
    <w:rsid w:val="000E20FC"/>
    <w:rsid w:val="000E3F3C"/>
    <w:rsid w:val="00106764"/>
    <w:rsid w:val="001138DB"/>
    <w:rsid w:val="00116C0C"/>
    <w:rsid w:val="001259B5"/>
    <w:rsid w:val="00127D3C"/>
    <w:rsid w:val="0013142B"/>
    <w:rsid w:val="001333C5"/>
    <w:rsid w:val="00137137"/>
    <w:rsid w:val="00143CB3"/>
    <w:rsid w:val="00156D5C"/>
    <w:rsid w:val="00156DEC"/>
    <w:rsid w:val="00170AF1"/>
    <w:rsid w:val="00174547"/>
    <w:rsid w:val="001827E7"/>
    <w:rsid w:val="00183DD5"/>
    <w:rsid w:val="001A20F0"/>
    <w:rsid w:val="001A2B39"/>
    <w:rsid w:val="001A55DF"/>
    <w:rsid w:val="001A7184"/>
    <w:rsid w:val="001A75BC"/>
    <w:rsid w:val="001B2176"/>
    <w:rsid w:val="001B2C9A"/>
    <w:rsid w:val="001B366A"/>
    <w:rsid w:val="001B43BB"/>
    <w:rsid w:val="001B54ED"/>
    <w:rsid w:val="001B5AEF"/>
    <w:rsid w:val="001C3103"/>
    <w:rsid w:val="001D46B3"/>
    <w:rsid w:val="001F58B2"/>
    <w:rsid w:val="001F5F3F"/>
    <w:rsid w:val="002115D2"/>
    <w:rsid w:val="002135B7"/>
    <w:rsid w:val="0023232C"/>
    <w:rsid w:val="0023720D"/>
    <w:rsid w:val="002430EC"/>
    <w:rsid w:val="00247AE8"/>
    <w:rsid w:val="00251AA4"/>
    <w:rsid w:val="00253500"/>
    <w:rsid w:val="002740DA"/>
    <w:rsid w:val="0028620E"/>
    <w:rsid w:val="002B4E89"/>
    <w:rsid w:val="002B6B88"/>
    <w:rsid w:val="002E0BE9"/>
    <w:rsid w:val="002E5042"/>
    <w:rsid w:val="002E5C1A"/>
    <w:rsid w:val="0031768D"/>
    <w:rsid w:val="00332FB7"/>
    <w:rsid w:val="003360C0"/>
    <w:rsid w:val="003364CC"/>
    <w:rsid w:val="003471DF"/>
    <w:rsid w:val="003559BD"/>
    <w:rsid w:val="00371587"/>
    <w:rsid w:val="00371E1B"/>
    <w:rsid w:val="003720C1"/>
    <w:rsid w:val="00376460"/>
    <w:rsid w:val="0038114F"/>
    <w:rsid w:val="0038536B"/>
    <w:rsid w:val="003B4197"/>
    <w:rsid w:val="003C0F1B"/>
    <w:rsid w:val="003D15A4"/>
    <w:rsid w:val="003D4415"/>
    <w:rsid w:val="003D7EA6"/>
    <w:rsid w:val="003F4F44"/>
    <w:rsid w:val="003F6A11"/>
    <w:rsid w:val="0040245E"/>
    <w:rsid w:val="004117D6"/>
    <w:rsid w:val="00411D2E"/>
    <w:rsid w:val="00415AF5"/>
    <w:rsid w:val="00416BDC"/>
    <w:rsid w:val="00425DEF"/>
    <w:rsid w:val="00426F25"/>
    <w:rsid w:val="00427907"/>
    <w:rsid w:val="004315A7"/>
    <w:rsid w:val="00435968"/>
    <w:rsid w:val="00440CDB"/>
    <w:rsid w:val="004417C8"/>
    <w:rsid w:val="004447D8"/>
    <w:rsid w:val="004471FF"/>
    <w:rsid w:val="00447A5B"/>
    <w:rsid w:val="00450EB8"/>
    <w:rsid w:val="00462B4D"/>
    <w:rsid w:val="0047202B"/>
    <w:rsid w:val="00473CD9"/>
    <w:rsid w:val="00476CDE"/>
    <w:rsid w:val="00483B69"/>
    <w:rsid w:val="0048453E"/>
    <w:rsid w:val="00484DCB"/>
    <w:rsid w:val="00486060"/>
    <w:rsid w:val="004866C2"/>
    <w:rsid w:val="0048695B"/>
    <w:rsid w:val="00491938"/>
    <w:rsid w:val="00496CC9"/>
    <w:rsid w:val="00497FA0"/>
    <w:rsid w:val="004A72C0"/>
    <w:rsid w:val="004A7D1F"/>
    <w:rsid w:val="004B49A8"/>
    <w:rsid w:val="004C1AC5"/>
    <w:rsid w:val="004D66F4"/>
    <w:rsid w:val="004E4523"/>
    <w:rsid w:val="004F0300"/>
    <w:rsid w:val="004F040E"/>
    <w:rsid w:val="004F5088"/>
    <w:rsid w:val="0050381F"/>
    <w:rsid w:val="005053F7"/>
    <w:rsid w:val="00507991"/>
    <w:rsid w:val="00510926"/>
    <w:rsid w:val="00513B55"/>
    <w:rsid w:val="005155DB"/>
    <w:rsid w:val="00523A43"/>
    <w:rsid w:val="00523ECC"/>
    <w:rsid w:val="0053237E"/>
    <w:rsid w:val="00532DB3"/>
    <w:rsid w:val="00534821"/>
    <w:rsid w:val="00554D3A"/>
    <w:rsid w:val="005600D6"/>
    <w:rsid w:val="00570B7A"/>
    <w:rsid w:val="0057682E"/>
    <w:rsid w:val="0058324D"/>
    <w:rsid w:val="005850A0"/>
    <w:rsid w:val="00585F44"/>
    <w:rsid w:val="00585F8E"/>
    <w:rsid w:val="00587854"/>
    <w:rsid w:val="0059361D"/>
    <w:rsid w:val="005A42B0"/>
    <w:rsid w:val="005A64E6"/>
    <w:rsid w:val="005B05AF"/>
    <w:rsid w:val="005B0F1F"/>
    <w:rsid w:val="005B4522"/>
    <w:rsid w:val="005D1360"/>
    <w:rsid w:val="005E15E3"/>
    <w:rsid w:val="005E3A2A"/>
    <w:rsid w:val="00602FBC"/>
    <w:rsid w:val="006053FC"/>
    <w:rsid w:val="0062308E"/>
    <w:rsid w:val="00624C54"/>
    <w:rsid w:val="00625C66"/>
    <w:rsid w:val="00634B6A"/>
    <w:rsid w:val="00636C6D"/>
    <w:rsid w:val="00643253"/>
    <w:rsid w:val="006519CE"/>
    <w:rsid w:val="006536D8"/>
    <w:rsid w:val="0065432E"/>
    <w:rsid w:val="00654466"/>
    <w:rsid w:val="00662C52"/>
    <w:rsid w:val="00663DB4"/>
    <w:rsid w:val="00675A9E"/>
    <w:rsid w:val="00687051"/>
    <w:rsid w:val="00696473"/>
    <w:rsid w:val="006A2351"/>
    <w:rsid w:val="006B109E"/>
    <w:rsid w:val="006B4028"/>
    <w:rsid w:val="006B548F"/>
    <w:rsid w:val="006C69E3"/>
    <w:rsid w:val="006C73CE"/>
    <w:rsid w:val="006F4FFB"/>
    <w:rsid w:val="006F66F9"/>
    <w:rsid w:val="0070540C"/>
    <w:rsid w:val="007123FD"/>
    <w:rsid w:val="0071639E"/>
    <w:rsid w:val="007166B6"/>
    <w:rsid w:val="0072000F"/>
    <w:rsid w:val="00725226"/>
    <w:rsid w:val="007408F4"/>
    <w:rsid w:val="00747555"/>
    <w:rsid w:val="00762B5A"/>
    <w:rsid w:val="00765C8C"/>
    <w:rsid w:val="007663F9"/>
    <w:rsid w:val="00776037"/>
    <w:rsid w:val="00785F03"/>
    <w:rsid w:val="00785FBD"/>
    <w:rsid w:val="00786A23"/>
    <w:rsid w:val="007A15F1"/>
    <w:rsid w:val="007A42E3"/>
    <w:rsid w:val="007A44FB"/>
    <w:rsid w:val="007B669A"/>
    <w:rsid w:val="007B7A5E"/>
    <w:rsid w:val="007C38DD"/>
    <w:rsid w:val="007C5512"/>
    <w:rsid w:val="007D0DE7"/>
    <w:rsid w:val="007D310E"/>
    <w:rsid w:val="007E4AD5"/>
    <w:rsid w:val="007F0EF4"/>
    <w:rsid w:val="007F13FA"/>
    <w:rsid w:val="008010B0"/>
    <w:rsid w:val="008046CE"/>
    <w:rsid w:val="00804E63"/>
    <w:rsid w:val="00807C55"/>
    <w:rsid w:val="00815EA2"/>
    <w:rsid w:val="00816F96"/>
    <w:rsid w:val="008178CB"/>
    <w:rsid w:val="00817B37"/>
    <w:rsid w:val="00825F98"/>
    <w:rsid w:val="00834396"/>
    <w:rsid w:val="00835018"/>
    <w:rsid w:val="008364ED"/>
    <w:rsid w:val="00844390"/>
    <w:rsid w:val="00847C7E"/>
    <w:rsid w:val="0085291B"/>
    <w:rsid w:val="008609F4"/>
    <w:rsid w:val="00873691"/>
    <w:rsid w:val="00875C63"/>
    <w:rsid w:val="00876801"/>
    <w:rsid w:val="00876C86"/>
    <w:rsid w:val="00877C74"/>
    <w:rsid w:val="008811F1"/>
    <w:rsid w:val="008834F4"/>
    <w:rsid w:val="00884579"/>
    <w:rsid w:val="008871C8"/>
    <w:rsid w:val="00887568"/>
    <w:rsid w:val="00887D79"/>
    <w:rsid w:val="00894D13"/>
    <w:rsid w:val="008A487C"/>
    <w:rsid w:val="008B447E"/>
    <w:rsid w:val="008B71B8"/>
    <w:rsid w:val="008C0502"/>
    <w:rsid w:val="008C2544"/>
    <w:rsid w:val="008C6B47"/>
    <w:rsid w:val="008D1045"/>
    <w:rsid w:val="008D4C0F"/>
    <w:rsid w:val="008D73F0"/>
    <w:rsid w:val="008F3E8B"/>
    <w:rsid w:val="008F5824"/>
    <w:rsid w:val="0090099C"/>
    <w:rsid w:val="00914248"/>
    <w:rsid w:val="009145B7"/>
    <w:rsid w:val="009157B3"/>
    <w:rsid w:val="009160E3"/>
    <w:rsid w:val="00940FDB"/>
    <w:rsid w:val="0095777E"/>
    <w:rsid w:val="00962DF1"/>
    <w:rsid w:val="00967C3C"/>
    <w:rsid w:val="00970D00"/>
    <w:rsid w:val="00973BE2"/>
    <w:rsid w:val="00975190"/>
    <w:rsid w:val="00984517"/>
    <w:rsid w:val="0098591E"/>
    <w:rsid w:val="009955C7"/>
    <w:rsid w:val="0099645A"/>
    <w:rsid w:val="009974BD"/>
    <w:rsid w:val="009A50F5"/>
    <w:rsid w:val="009A63B8"/>
    <w:rsid w:val="009B360A"/>
    <w:rsid w:val="009B3DA6"/>
    <w:rsid w:val="009B3E47"/>
    <w:rsid w:val="009B7C08"/>
    <w:rsid w:val="009C157C"/>
    <w:rsid w:val="009C24AE"/>
    <w:rsid w:val="009C4105"/>
    <w:rsid w:val="009C59EB"/>
    <w:rsid w:val="009D4084"/>
    <w:rsid w:val="009D7AFF"/>
    <w:rsid w:val="009E2B0E"/>
    <w:rsid w:val="009E796C"/>
    <w:rsid w:val="009F05B5"/>
    <w:rsid w:val="00A049EE"/>
    <w:rsid w:val="00A17367"/>
    <w:rsid w:val="00A255FA"/>
    <w:rsid w:val="00A25EB9"/>
    <w:rsid w:val="00A27F7A"/>
    <w:rsid w:val="00A31ACF"/>
    <w:rsid w:val="00A42828"/>
    <w:rsid w:val="00A46115"/>
    <w:rsid w:val="00A475E0"/>
    <w:rsid w:val="00A50709"/>
    <w:rsid w:val="00A60639"/>
    <w:rsid w:val="00A60D5C"/>
    <w:rsid w:val="00A6464B"/>
    <w:rsid w:val="00A7299B"/>
    <w:rsid w:val="00A77379"/>
    <w:rsid w:val="00A83709"/>
    <w:rsid w:val="00A85E73"/>
    <w:rsid w:val="00AA37F7"/>
    <w:rsid w:val="00AA494B"/>
    <w:rsid w:val="00AA4A47"/>
    <w:rsid w:val="00AB7A68"/>
    <w:rsid w:val="00AC1FFF"/>
    <w:rsid w:val="00AD40C4"/>
    <w:rsid w:val="00AD7FE7"/>
    <w:rsid w:val="00AE3F92"/>
    <w:rsid w:val="00AE71A7"/>
    <w:rsid w:val="00AF0861"/>
    <w:rsid w:val="00AF1520"/>
    <w:rsid w:val="00AF2F83"/>
    <w:rsid w:val="00AF4266"/>
    <w:rsid w:val="00AF447E"/>
    <w:rsid w:val="00B006ED"/>
    <w:rsid w:val="00B0081D"/>
    <w:rsid w:val="00B218CE"/>
    <w:rsid w:val="00B25BF7"/>
    <w:rsid w:val="00B35220"/>
    <w:rsid w:val="00B41F82"/>
    <w:rsid w:val="00B44E62"/>
    <w:rsid w:val="00B5079C"/>
    <w:rsid w:val="00B66ABE"/>
    <w:rsid w:val="00B66DF2"/>
    <w:rsid w:val="00B92786"/>
    <w:rsid w:val="00B961E6"/>
    <w:rsid w:val="00B97F2A"/>
    <w:rsid w:val="00BB6F3F"/>
    <w:rsid w:val="00BC4770"/>
    <w:rsid w:val="00C000FD"/>
    <w:rsid w:val="00C042F9"/>
    <w:rsid w:val="00C05423"/>
    <w:rsid w:val="00C061D7"/>
    <w:rsid w:val="00C13655"/>
    <w:rsid w:val="00C150C0"/>
    <w:rsid w:val="00C16699"/>
    <w:rsid w:val="00C178CA"/>
    <w:rsid w:val="00C36538"/>
    <w:rsid w:val="00C436ED"/>
    <w:rsid w:val="00C4669E"/>
    <w:rsid w:val="00C629FE"/>
    <w:rsid w:val="00C718EB"/>
    <w:rsid w:val="00C732B8"/>
    <w:rsid w:val="00C8423A"/>
    <w:rsid w:val="00C9514F"/>
    <w:rsid w:val="00C9560A"/>
    <w:rsid w:val="00C961CE"/>
    <w:rsid w:val="00CA0950"/>
    <w:rsid w:val="00CC2E19"/>
    <w:rsid w:val="00CD21A3"/>
    <w:rsid w:val="00CD3B32"/>
    <w:rsid w:val="00CF26CF"/>
    <w:rsid w:val="00CF5F1C"/>
    <w:rsid w:val="00D0388D"/>
    <w:rsid w:val="00D0522D"/>
    <w:rsid w:val="00D21EBA"/>
    <w:rsid w:val="00D30D70"/>
    <w:rsid w:val="00D32FA4"/>
    <w:rsid w:val="00D3412A"/>
    <w:rsid w:val="00D4343B"/>
    <w:rsid w:val="00D43FFC"/>
    <w:rsid w:val="00D45508"/>
    <w:rsid w:val="00D45CAC"/>
    <w:rsid w:val="00D50487"/>
    <w:rsid w:val="00D5646B"/>
    <w:rsid w:val="00D604C4"/>
    <w:rsid w:val="00D62319"/>
    <w:rsid w:val="00D650A9"/>
    <w:rsid w:val="00D66C32"/>
    <w:rsid w:val="00D70B15"/>
    <w:rsid w:val="00D8784D"/>
    <w:rsid w:val="00D87989"/>
    <w:rsid w:val="00D87CB1"/>
    <w:rsid w:val="00D9374B"/>
    <w:rsid w:val="00DA4E16"/>
    <w:rsid w:val="00DB0A32"/>
    <w:rsid w:val="00DB11E0"/>
    <w:rsid w:val="00DB4405"/>
    <w:rsid w:val="00DC5771"/>
    <w:rsid w:val="00DD50DA"/>
    <w:rsid w:val="00DD64F5"/>
    <w:rsid w:val="00DD6CFD"/>
    <w:rsid w:val="00DE0022"/>
    <w:rsid w:val="00DE3E9F"/>
    <w:rsid w:val="00E0512A"/>
    <w:rsid w:val="00E07E84"/>
    <w:rsid w:val="00E12430"/>
    <w:rsid w:val="00E142A2"/>
    <w:rsid w:val="00E261FE"/>
    <w:rsid w:val="00E34C86"/>
    <w:rsid w:val="00E47283"/>
    <w:rsid w:val="00E550A5"/>
    <w:rsid w:val="00E55BB6"/>
    <w:rsid w:val="00E574A6"/>
    <w:rsid w:val="00E610A1"/>
    <w:rsid w:val="00E65982"/>
    <w:rsid w:val="00E66081"/>
    <w:rsid w:val="00E70F1D"/>
    <w:rsid w:val="00E70F99"/>
    <w:rsid w:val="00E73D2F"/>
    <w:rsid w:val="00E74D18"/>
    <w:rsid w:val="00E76D32"/>
    <w:rsid w:val="00E95E39"/>
    <w:rsid w:val="00E96D14"/>
    <w:rsid w:val="00EA0990"/>
    <w:rsid w:val="00EA446D"/>
    <w:rsid w:val="00EA7E21"/>
    <w:rsid w:val="00EB24D4"/>
    <w:rsid w:val="00EC0A11"/>
    <w:rsid w:val="00EC3A6D"/>
    <w:rsid w:val="00ED1077"/>
    <w:rsid w:val="00ED2884"/>
    <w:rsid w:val="00ED471C"/>
    <w:rsid w:val="00ED4E8F"/>
    <w:rsid w:val="00ED55A8"/>
    <w:rsid w:val="00EE41B0"/>
    <w:rsid w:val="00EE5C6E"/>
    <w:rsid w:val="00EE781C"/>
    <w:rsid w:val="00F15C9C"/>
    <w:rsid w:val="00F3274D"/>
    <w:rsid w:val="00F66EC0"/>
    <w:rsid w:val="00F764BE"/>
    <w:rsid w:val="00F915BF"/>
    <w:rsid w:val="00F976EF"/>
    <w:rsid w:val="00FA2236"/>
    <w:rsid w:val="00FA7DA1"/>
    <w:rsid w:val="00FB0F0A"/>
    <w:rsid w:val="00FC61D1"/>
    <w:rsid w:val="00FD2957"/>
    <w:rsid w:val="00FE1289"/>
    <w:rsid w:val="00FF0DE4"/>
    <w:rsid w:val="00FF3E51"/>
    <w:rsid w:val="00FF4A6D"/>
    <w:rsid w:val="00FF7EFB"/>
    <w:rsid w:val="01056F8F"/>
    <w:rsid w:val="01A94CC9"/>
    <w:rsid w:val="01D3120A"/>
    <w:rsid w:val="03914E86"/>
    <w:rsid w:val="03CB0E63"/>
    <w:rsid w:val="057C44B0"/>
    <w:rsid w:val="060A53B3"/>
    <w:rsid w:val="06C97F2F"/>
    <w:rsid w:val="07170240"/>
    <w:rsid w:val="0846735F"/>
    <w:rsid w:val="0A754835"/>
    <w:rsid w:val="0A902736"/>
    <w:rsid w:val="0AEF187C"/>
    <w:rsid w:val="0B977C78"/>
    <w:rsid w:val="0D3604DF"/>
    <w:rsid w:val="0D681E32"/>
    <w:rsid w:val="0D81013E"/>
    <w:rsid w:val="0F4B084A"/>
    <w:rsid w:val="0F5A45F6"/>
    <w:rsid w:val="0F7B31BF"/>
    <w:rsid w:val="107B0A2F"/>
    <w:rsid w:val="111F7DDE"/>
    <w:rsid w:val="117D4B05"/>
    <w:rsid w:val="11DE6DF4"/>
    <w:rsid w:val="12A33D6C"/>
    <w:rsid w:val="13FA068E"/>
    <w:rsid w:val="140355E4"/>
    <w:rsid w:val="14860756"/>
    <w:rsid w:val="14FE0046"/>
    <w:rsid w:val="15B10640"/>
    <w:rsid w:val="17F23190"/>
    <w:rsid w:val="183B1452"/>
    <w:rsid w:val="18D32E37"/>
    <w:rsid w:val="19211CEB"/>
    <w:rsid w:val="19A50EF7"/>
    <w:rsid w:val="1A1D5165"/>
    <w:rsid w:val="1A217544"/>
    <w:rsid w:val="1B74224B"/>
    <w:rsid w:val="1D344E68"/>
    <w:rsid w:val="1E76562E"/>
    <w:rsid w:val="1EE766A4"/>
    <w:rsid w:val="213A3EA2"/>
    <w:rsid w:val="21C22F30"/>
    <w:rsid w:val="22695703"/>
    <w:rsid w:val="227804D3"/>
    <w:rsid w:val="22C24A6D"/>
    <w:rsid w:val="230C40FF"/>
    <w:rsid w:val="2331329F"/>
    <w:rsid w:val="24415E66"/>
    <w:rsid w:val="24D21EAD"/>
    <w:rsid w:val="262846EF"/>
    <w:rsid w:val="26874884"/>
    <w:rsid w:val="28B61AF9"/>
    <w:rsid w:val="2C0F0E8C"/>
    <w:rsid w:val="2C843844"/>
    <w:rsid w:val="2D0447DA"/>
    <w:rsid w:val="2F2A70FD"/>
    <w:rsid w:val="2F5A1F1A"/>
    <w:rsid w:val="2F876047"/>
    <w:rsid w:val="3054471F"/>
    <w:rsid w:val="30767F94"/>
    <w:rsid w:val="30C31C25"/>
    <w:rsid w:val="311C0299"/>
    <w:rsid w:val="31E440B3"/>
    <w:rsid w:val="325C2C2C"/>
    <w:rsid w:val="32A815FF"/>
    <w:rsid w:val="341E7629"/>
    <w:rsid w:val="343E7CCC"/>
    <w:rsid w:val="35DE4F72"/>
    <w:rsid w:val="36B609C8"/>
    <w:rsid w:val="3868707E"/>
    <w:rsid w:val="38AF2F46"/>
    <w:rsid w:val="39070FD4"/>
    <w:rsid w:val="39924D42"/>
    <w:rsid w:val="3A644BFE"/>
    <w:rsid w:val="3AB505A9"/>
    <w:rsid w:val="3B525E2D"/>
    <w:rsid w:val="3C870112"/>
    <w:rsid w:val="3E29551B"/>
    <w:rsid w:val="3FDF2363"/>
    <w:rsid w:val="3FF06D1D"/>
    <w:rsid w:val="40397B31"/>
    <w:rsid w:val="40A07132"/>
    <w:rsid w:val="40C61999"/>
    <w:rsid w:val="416C5E78"/>
    <w:rsid w:val="4183594B"/>
    <w:rsid w:val="42404A15"/>
    <w:rsid w:val="42696294"/>
    <w:rsid w:val="42711067"/>
    <w:rsid w:val="429F227D"/>
    <w:rsid w:val="42ED6C3F"/>
    <w:rsid w:val="44BC4831"/>
    <w:rsid w:val="46DE1C13"/>
    <w:rsid w:val="476F03E1"/>
    <w:rsid w:val="4897134F"/>
    <w:rsid w:val="4C6B23FA"/>
    <w:rsid w:val="4C98343F"/>
    <w:rsid w:val="4D0B5016"/>
    <w:rsid w:val="4E245B73"/>
    <w:rsid w:val="4E3A2169"/>
    <w:rsid w:val="4EDE1309"/>
    <w:rsid w:val="4F302187"/>
    <w:rsid w:val="507540C6"/>
    <w:rsid w:val="51277512"/>
    <w:rsid w:val="512B6FA2"/>
    <w:rsid w:val="51406B54"/>
    <w:rsid w:val="51A21442"/>
    <w:rsid w:val="51F704FF"/>
    <w:rsid w:val="53A42927"/>
    <w:rsid w:val="549260BB"/>
    <w:rsid w:val="56257899"/>
    <w:rsid w:val="571C1017"/>
    <w:rsid w:val="58F25D8C"/>
    <w:rsid w:val="5A896CAF"/>
    <w:rsid w:val="5C62085C"/>
    <w:rsid w:val="5CD86DB5"/>
    <w:rsid w:val="5CEC1E11"/>
    <w:rsid w:val="5E0C4813"/>
    <w:rsid w:val="5E1E5352"/>
    <w:rsid w:val="5E2D352C"/>
    <w:rsid w:val="5E62482F"/>
    <w:rsid w:val="60BD7799"/>
    <w:rsid w:val="611320CE"/>
    <w:rsid w:val="622A0E65"/>
    <w:rsid w:val="65E24E2B"/>
    <w:rsid w:val="66EF42A6"/>
    <w:rsid w:val="679F2E4F"/>
    <w:rsid w:val="67CB56F3"/>
    <w:rsid w:val="68AF5FA2"/>
    <w:rsid w:val="68C74900"/>
    <w:rsid w:val="68D30590"/>
    <w:rsid w:val="6B384B28"/>
    <w:rsid w:val="6BD958CF"/>
    <w:rsid w:val="6BD9736B"/>
    <w:rsid w:val="6C0C295D"/>
    <w:rsid w:val="6C1A58CE"/>
    <w:rsid w:val="6DA22F45"/>
    <w:rsid w:val="6EF75BB8"/>
    <w:rsid w:val="6F1E4658"/>
    <w:rsid w:val="6F1E7BEB"/>
    <w:rsid w:val="6FBD5D81"/>
    <w:rsid w:val="70875F7B"/>
    <w:rsid w:val="71FD2E25"/>
    <w:rsid w:val="728B1CB0"/>
    <w:rsid w:val="72CA40D7"/>
    <w:rsid w:val="72DC64A4"/>
    <w:rsid w:val="73237CD4"/>
    <w:rsid w:val="739C46EE"/>
    <w:rsid w:val="75025BB6"/>
    <w:rsid w:val="783D4FB4"/>
    <w:rsid w:val="78BA3FBC"/>
    <w:rsid w:val="7A5847F4"/>
    <w:rsid w:val="7B3A5E79"/>
    <w:rsid w:val="7BCE32F4"/>
    <w:rsid w:val="7C876A78"/>
    <w:rsid w:val="7C935EC5"/>
    <w:rsid w:val="7E9848A7"/>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qFormat="1" w:unhideWhenUsed="0"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qFormat="1" w:unhideWhenUsed="0"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0" w:semiHidden="0" w:name="Strong" w:locked="1"/>
    <w:lsdException w:qFormat="1" w:unhideWhenUsed="0" w:uiPriority="20" w:semiHidden="0" w:name="Emphasis" w:locked="1"/>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name="HTML Preformatted"/>
    <w:lsdException w:uiPriority="99" w:name="HTML Sample"/>
    <w:lsdException w:uiPriority="99" w:name="HTML Typewriter"/>
    <w:lsdException w:uiPriority="99" w:name="HTML Variable"/>
    <w:lsdException w:qFormat="1" w:uiPriority="99" w:name="Normal Table"/>
    <w:lsdException w:qFormat="1" w:unhideWhenUsed="0"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paragraph" w:styleId="2">
    <w:name w:val="heading 3"/>
    <w:basedOn w:val="1"/>
    <w:next w:val="1"/>
    <w:semiHidden/>
    <w:unhideWhenUsed/>
    <w:qFormat/>
    <w:locked/>
    <w:uiPriority w:val="0"/>
    <w:pPr>
      <w:spacing w:beforeAutospacing="1" w:afterAutospacing="1"/>
      <w:jc w:val="left"/>
      <w:outlineLvl w:val="2"/>
    </w:pPr>
    <w:rPr>
      <w:rFonts w:hint="eastAsia" w:ascii="宋体" w:hAnsi="宋体"/>
      <w:b/>
      <w:kern w:val="0"/>
      <w:sz w:val="27"/>
      <w:szCs w:val="27"/>
    </w:rPr>
  </w:style>
  <w:style w:type="character" w:default="1" w:styleId="11">
    <w:name w:val="Default Paragraph Font"/>
    <w:semiHidden/>
    <w:unhideWhenUsed/>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link w:val="29"/>
    <w:semiHidden/>
    <w:qFormat/>
    <w:uiPriority w:val="99"/>
    <w:pPr>
      <w:jc w:val="left"/>
    </w:pPr>
    <w:rPr>
      <w:sz w:val="24"/>
      <w:szCs w:val="24"/>
    </w:rPr>
  </w:style>
  <w:style w:type="paragraph" w:styleId="4">
    <w:name w:val="Balloon Text"/>
    <w:basedOn w:val="1"/>
    <w:link w:val="31"/>
    <w:semiHidden/>
    <w:qFormat/>
    <w:uiPriority w:val="99"/>
    <w:rPr>
      <w:sz w:val="18"/>
      <w:szCs w:val="18"/>
    </w:rPr>
  </w:style>
  <w:style w:type="paragraph" w:styleId="5">
    <w:name w:val="footer"/>
    <w:basedOn w:val="1"/>
    <w:link w:val="15"/>
    <w:qFormat/>
    <w:uiPriority w:val="99"/>
    <w:pPr>
      <w:tabs>
        <w:tab w:val="center" w:pos="4153"/>
        <w:tab w:val="right" w:pos="8306"/>
      </w:tabs>
      <w:snapToGrid w:val="0"/>
      <w:jc w:val="left"/>
    </w:pPr>
    <w:rPr>
      <w:kern w:val="0"/>
      <w:sz w:val="18"/>
      <w:szCs w:val="18"/>
    </w:rPr>
  </w:style>
  <w:style w:type="paragraph" w:styleId="6">
    <w:name w:val="header"/>
    <w:basedOn w:val="1"/>
    <w:link w:val="16"/>
    <w:qFormat/>
    <w:uiPriority w:val="99"/>
    <w:pPr>
      <w:pBdr>
        <w:bottom w:val="single" w:color="auto" w:sz="6" w:space="1"/>
      </w:pBdr>
      <w:tabs>
        <w:tab w:val="center" w:pos="4153"/>
        <w:tab w:val="right" w:pos="8306"/>
      </w:tabs>
      <w:snapToGrid w:val="0"/>
      <w:jc w:val="center"/>
    </w:pPr>
    <w:rPr>
      <w:kern w:val="0"/>
      <w:sz w:val="18"/>
      <w:szCs w:val="18"/>
    </w:rPr>
  </w:style>
  <w:style w:type="paragraph" w:styleId="7">
    <w:name w:val="HTML Preformatted"/>
    <w:basedOn w:val="1"/>
    <w:link w:val="34"/>
    <w:semiHidden/>
    <w:unhideWhenUsed/>
    <w:qFormat/>
    <w:uiPriority w:val="99"/>
    <w:rPr>
      <w:rFonts w:ascii="Courier New" w:hAnsi="Courier New" w:cs="Courier New"/>
      <w:sz w:val="20"/>
      <w:szCs w:val="20"/>
    </w:rPr>
  </w:style>
  <w:style w:type="paragraph" w:styleId="8">
    <w:name w:val="Normal (Web)"/>
    <w:basedOn w:val="1"/>
    <w:qFormat/>
    <w:uiPriority w:val="0"/>
    <w:pPr>
      <w:widowControl/>
      <w:spacing w:before="100" w:beforeAutospacing="1" w:after="100" w:afterAutospacing="1"/>
      <w:jc w:val="left"/>
    </w:pPr>
    <w:rPr>
      <w:rFonts w:ascii="宋体" w:hAnsi="宋体" w:cs="宋体"/>
      <w:kern w:val="0"/>
      <w:sz w:val="24"/>
      <w:szCs w:val="24"/>
    </w:rPr>
  </w:style>
  <w:style w:type="paragraph" w:styleId="9">
    <w:name w:val="annotation subject"/>
    <w:basedOn w:val="3"/>
    <w:next w:val="3"/>
    <w:link w:val="30"/>
    <w:semiHidden/>
    <w:qFormat/>
    <w:uiPriority w:val="99"/>
    <w:rPr>
      <w:b/>
      <w:bCs/>
    </w:rPr>
  </w:style>
  <w:style w:type="character" w:styleId="12">
    <w:name w:val="Emphasis"/>
    <w:basedOn w:val="11"/>
    <w:qFormat/>
    <w:locked/>
    <w:uiPriority w:val="20"/>
    <w:rPr>
      <w:i/>
      <w:iCs/>
    </w:rPr>
  </w:style>
  <w:style w:type="character" w:styleId="13">
    <w:name w:val="Hyperlink"/>
    <w:basedOn w:val="11"/>
    <w:qFormat/>
    <w:uiPriority w:val="0"/>
    <w:rPr>
      <w:color w:val="0000FF"/>
      <w:u w:val="single"/>
    </w:rPr>
  </w:style>
  <w:style w:type="character" w:styleId="14">
    <w:name w:val="annotation reference"/>
    <w:semiHidden/>
    <w:qFormat/>
    <w:uiPriority w:val="99"/>
    <w:rPr>
      <w:sz w:val="21"/>
      <w:szCs w:val="21"/>
    </w:rPr>
  </w:style>
  <w:style w:type="character" w:customStyle="1" w:styleId="15">
    <w:name w:val="页脚 Char"/>
    <w:link w:val="5"/>
    <w:qFormat/>
    <w:locked/>
    <w:uiPriority w:val="99"/>
    <w:rPr>
      <w:rFonts w:ascii="Times New Roman" w:hAnsi="Times New Roman" w:eastAsia="宋体" w:cs="Times New Roman"/>
      <w:sz w:val="18"/>
      <w:szCs w:val="18"/>
    </w:rPr>
  </w:style>
  <w:style w:type="character" w:customStyle="1" w:styleId="16">
    <w:name w:val="页眉 Char"/>
    <w:link w:val="6"/>
    <w:qFormat/>
    <w:locked/>
    <w:uiPriority w:val="99"/>
    <w:rPr>
      <w:rFonts w:ascii="Times New Roman" w:hAnsi="Times New Roman" w:eastAsia="宋体" w:cs="Times New Roman"/>
      <w:sz w:val="18"/>
      <w:szCs w:val="18"/>
    </w:rPr>
  </w:style>
  <w:style w:type="character" w:customStyle="1" w:styleId="17">
    <w:name w:val="段 Char"/>
    <w:link w:val="18"/>
    <w:qFormat/>
    <w:locked/>
    <w:uiPriority w:val="99"/>
    <w:rPr>
      <w:rFonts w:ascii="宋体" w:cs="宋体"/>
      <w:kern w:val="2"/>
      <w:sz w:val="21"/>
      <w:szCs w:val="21"/>
      <w:lang w:val="en-US" w:eastAsia="zh-CN" w:bidi="ar-SA"/>
    </w:rPr>
  </w:style>
  <w:style w:type="paragraph" w:customStyle="1" w:styleId="18">
    <w:name w:val="段"/>
    <w:link w:val="17"/>
    <w:qFormat/>
    <w:uiPriority w:val="99"/>
    <w:pPr>
      <w:tabs>
        <w:tab w:val="center" w:pos="4201"/>
        <w:tab w:val="right" w:leader="dot" w:pos="9298"/>
      </w:tabs>
      <w:autoSpaceDE w:val="0"/>
      <w:autoSpaceDN w:val="0"/>
      <w:ind w:firstLine="420" w:firstLineChars="200"/>
      <w:jc w:val="both"/>
    </w:pPr>
    <w:rPr>
      <w:rFonts w:ascii="宋体" w:hAnsi="Calibri" w:eastAsia="宋体" w:cs="宋体"/>
      <w:kern w:val="2"/>
      <w:sz w:val="21"/>
      <w:szCs w:val="21"/>
      <w:lang w:val="en-US" w:eastAsia="zh-CN" w:bidi="ar-SA"/>
    </w:rPr>
  </w:style>
  <w:style w:type="paragraph" w:customStyle="1" w:styleId="19">
    <w:name w:val="标准书眉_奇数页"/>
    <w:next w:val="1"/>
    <w:qFormat/>
    <w:uiPriority w:val="99"/>
    <w:pPr>
      <w:tabs>
        <w:tab w:val="center" w:pos="4154"/>
        <w:tab w:val="right" w:pos="8306"/>
      </w:tabs>
      <w:spacing w:after="220"/>
      <w:jc w:val="right"/>
    </w:pPr>
    <w:rPr>
      <w:rFonts w:ascii="黑体" w:hAnsi="Times New Roman" w:eastAsia="黑体" w:cs="黑体"/>
      <w:sz w:val="21"/>
      <w:szCs w:val="21"/>
      <w:lang w:val="en-US" w:eastAsia="zh-CN" w:bidi="ar-SA"/>
    </w:rPr>
  </w:style>
  <w:style w:type="paragraph" w:customStyle="1" w:styleId="20">
    <w:name w:val="前言、引言标题"/>
    <w:next w:val="18"/>
    <w:qFormat/>
    <w:uiPriority w:val="99"/>
    <w:pPr>
      <w:keepNext/>
      <w:pageBreakBefore/>
      <w:shd w:val="clear" w:color="FFFFFF" w:fill="FFFFFF"/>
      <w:spacing w:before="640" w:after="560"/>
      <w:jc w:val="center"/>
      <w:outlineLvl w:val="0"/>
    </w:pPr>
    <w:rPr>
      <w:rFonts w:ascii="黑体" w:hAnsi="Times New Roman" w:eastAsia="黑体" w:cs="黑体"/>
      <w:sz w:val="32"/>
      <w:szCs w:val="32"/>
      <w:lang w:val="en-US" w:eastAsia="zh-CN" w:bidi="ar-SA"/>
    </w:rPr>
  </w:style>
  <w:style w:type="paragraph" w:customStyle="1" w:styleId="21">
    <w:name w:val="二级条标题"/>
    <w:basedOn w:val="22"/>
    <w:next w:val="18"/>
    <w:qFormat/>
    <w:uiPriority w:val="99"/>
    <w:pPr>
      <w:numPr>
        <w:ilvl w:val="2"/>
      </w:numPr>
      <w:tabs>
        <w:tab w:val="left" w:pos="720"/>
        <w:tab w:val="left" w:pos="1440"/>
      </w:tabs>
      <w:spacing w:before="50" w:after="50"/>
      <w:outlineLvl w:val="3"/>
    </w:pPr>
  </w:style>
  <w:style w:type="paragraph" w:customStyle="1" w:styleId="22">
    <w:name w:val="一级条标题"/>
    <w:next w:val="18"/>
    <w:qFormat/>
    <w:uiPriority w:val="99"/>
    <w:pPr>
      <w:numPr>
        <w:ilvl w:val="1"/>
        <w:numId w:val="1"/>
      </w:numPr>
      <w:spacing w:beforeLines="50" w:afterLines="50"/>
      <w:outlineLvl w:val="2"/>
    </w:pPr>
    <w:rPr>
      <w:rFonts w:ascii="黑体" w:hAnsi="Times New Roman" w:eastAsia="黑体" w:cs="黑体"/>
      <w:sz w:val="21"/>
      <w:szCs w:val="21"/>
      <w:lang w:val="en-US" w:eastAsia="zh-CN" w:bidi="ar-SA"/>
    </w:rPr>
  </w:style>
  <w:style w:type="paragraph" w:customStyle="1" w:styleId="23">
    <w:name w:val="章标题"/>
    <w:next w:val="18"/>
    <w:qFormat/>
    <w:uiPriority w:val="99"/>
    <w:pPr>
      <w:numPr>
        <w:ilvl w:val="0"/>
        <w:numId w:val="1"/>
      </w:numPr>
      <w:spacing w:beforeLines="100" w:afterLines="100"/>
      <w:jc w:val="both"/>
      <w:outlineLvl w:val="1"/>
    </w:pPr>
    <w:rPr>
      <w:rFonts w:ascii="黑体" w:hAnsi="Times New Roman" w:eastAsia="黑体" w:cs="黑体"/>
      <w:sz w:val="21"/>
      <w:szCs w:val="21"/>
      <w:lang w:val="en-US" w:eastAsia="zh-CN" w:bidi="ar-SA"/>
    </w:rPr>
  </w:style>
  <w:style w:type="paragraph" w:customStyle="1" w:styleId="24">
    <w:name w:val="三级条标题"/>
    <w:basedOn w:val="21"/>
    <w:next w:val="18"/>
    <w:qFormat/>
    <w:uiPriority w:val="99"/>
    <w:pPr>
      <w:numPr>
        <w:ilvl w:val="3"/>
      </w:numPr>
      <w:outlineLvl w:val="4"/>
    </w:pPr>
  </w:style>
  <w:style w:type="paragraph" w:customStyle="1" w:styleId="25">
    <w:name w:val="标准书脚_奇数页"/>
    <w:qFormat/>
    <w:uiPriority w:val="99"/>
    <w:pPr>
      <w:spacing w:before="120"/>
      <w:ind w:right="198"/>
      <w:jc w:val="right"/>
    </w:pPr>
    <w:rPr>
      <w:rFonts w:ascii="宋体" w:hAnsi="Times New Roman" w:eastAsia="宋体" w:cs="宋体"/>
      <w:sz w:val="18"/>
      <w:szCs w:val="18"/>
      <w:lang w:val="en-US" w:eastAsia="zh-CN" w:bidi="ar-SA"/>
    </w:rPr>
  </w:style>
  <w:style w:type="paragraph" w:customStyle="1" w:styleId="26">
    <w:name w:val="目次、标准名称标题"/>
    <w:basedOn w:val="1"/>
    <w:next w:val="18"/>
    <w:qFormat/>
    <w:uiPriority w:val="99"/>
    <w:pPr>
      <w:keepNext/>
      <w:pageBreakBefore/>
      <w:widowControl/>
      <w:shd w:val="clear" w:color="FFFFFF" w:fill="FFFFFF"/>
      <w:spacing w:before="640" w:after="560" w:line="460" w:lineRule="exact"/>
      <w:jc w:val="center"/>
      <w:outlineLvl w:val="0"/>
    </w:pPr>
    <w:rPr>
      <w:rFonts w:ascii="黑体" w:eastAsia="黑体" w:cs="黑体"/>
      <w:kern w:val="0"/>
      <w:sz w:val="32"/>
      <w:szCs w:val="32"/>
    </w:rPr>
  </w:style>
  <w:style w:type="paragraph" w:customStyle="1" w:styleId="27">
    <w:name w:val="列出段落1"/>
    <w:basedOn w:val="1"/>
    <w:qFormat/>
    <w:uiPriority w:val="99"/>
    <w:pPr>
      <w:ind w:firstLine="420" w:firstLineChars="200"/>
    </w:pPr>
  </w:style>
  <w:style w:type="paragraph" w:customStyle="1" w:styleId="28">
    <w:name w:val="终结线"/>
    <w:basedOn w:val="1"/>
    <w:qFormat/>
    <w:uiPriority w:val="99"/>
    <w:pPr>
      <w:framePr w:hSpace="181" w:vSpace="181" w:wrap="around" w:vAnchor="text" w:hAnchor="margin" w:xAlign="center" w:y="285"/>
    </w:pPr>
  </w:style>
  <w:style w:type="character" w:customStyle="1" w:styleId="29">
    <w:name w:val="批注文字 Char"/>
    <w:link w:val="3"/>
    <w:qFormat/>
    <w:locked/>
    <w:uiPriority w:val="99"/>
    <w:rPr>
      <w:rFonts w:ascii="Times New Roman" w:hAnsi="Times New Roman" w:eastAsia="宋体" w:cs="Times New Roman"/>
      <w:kern w:val="2"/>
      <w:sz w:val="24"/>
      <w:szCs w:val="24"/>
    </w:rPr>
  </w:style>
  <w:style w:type="character" w:customStyle="1" w:styleId="30">
    <w:name w:val="批注主题 Char"/>
    <w:link w:val="9"/>
    <w:semiHidden/>
    <w:qFormat/>
    <w:locked/>
    <w:uiPriority w:val="99"/>
    <w:rPr>
      <w:rFonts w:ascii="Times New Roman" w:hAnsi="Times New Roman" w:eastAsia="宋体" w:cs="Times New Roman"/>
      <w:b/>
      <w:bCs/>
      <w:kern w:val="2"/>
      <w:sz w:val="24"/>
      <w:szCs w:val="24"/>
    </w:rPr>
  </w:style>
  <w:style w:type="character" w:customStyle="1" w:styleId="31">
    <w:name w:val="批注框文本 Char"/>
    <w:link w:val="4"/>
    <w:semiHidden/>
    <w:qFormat/>
    <w:locked/>
    <w:uiPriority w:val="99"/>
    <w:rPr>
      <w:rFonts w:ascii="Times New Roman" w:hAnsi="Times New Roman" w:eastAsia="宋体" w:cs="Times New Roman"/>
      <w:kern w:val="2"/>
      <w:sz w:val="18"/>
      <w:szCs w:val="18"/>
    </w:rPr>
  </w:style>
  <w:style w:type="paragraph" w:customStyle="1" w:styleId="32">
    <w:name w:val="修订1"/>
    <w:hidden/>
    <w:semiHidden/>
    <w:qFormat/>
    <w:uiPriority w:val="99"/>
    <w:rPr>
      <w:rFonts w:ascii="Times New Roman" w:hAnsi="Times New Roman" w:eastAsia="宋体" w:cs="Times New Roman"/>
      <w:kern w:val="2"/>
      <w:sz w:val="21"/>
      <w:szCs w:val="21"/>
      <w:lang w:val="en-US" w:eastAsia="zh-CN" w:bidi="ar-SA"/>
    </w:rPr>
  </w:style>
  <w:style w:type="paragraph" w:customStyle="1" w:styleId="33">
    <w:name w:val="正文文本 (2)"/>
    <w:basedOn w:val="1"/>
    <w:qFormat/>
    <w:uiPriority w:val="0"/>
    <w:pPr>
      <w:shd w:val="clear" w:color="auto" w:fill="FFFFFF"/>
      <w:spacing w:after="300" w:line="0" w:lineRule="atLeast"/>
    </w:pPr>
    <w:rPr>
      <w:rFonts w:ascii="微软雅黑" w:hAnsi="微软雅黑" w:eastAsia="微软雅黑" w:cs="微软雅黑"/>
      <w:sz w:val="12"/>
      <w:szCs w:val="12"/>
    </w:rPr>
  </w:style>
  <w:style w:type="character" w:customStyle="1" w:styleId="34">
    <w:name w:val="HTML 预设格式 Char"/>
    <w:basedOn w:val="11"/>
    <w:link w:val="7"/>
    <w:semiHidden/>
    <w:qFormat/>
    <w:uiPriority w:val="99"/>
    <w:rPr>
      <w:rFonts w:ascii="Courier New" w:hAnsi="Courier New" w:cs="Courier New"/>
      <w:kern w:val="2"/>
    </w:rPr>
  </w:style>
  <w:style w:type="character" w:customStyle="1" w:styleId="35">
    <w:name w:val="style7"/>
    <w:basedOn w:val="11"/>
    <w:qFormat/>
    <w:uiPriority w:val="0"/>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2.xml"/><Relationship Id="rId10" Type="http://schemas.openxmlformats.org/officeDocument/2006/relationships/numbering" Target="numbering.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51"/>
    <customShpInfo spid="_x0000_s2050"/>
    <customShpInfo spid="_x0000_s2049"/>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FFBC0C3-551B-4F80-B09C-BA0ACC0643A7}">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8</Pages>
  <Words>3076</Words>
  <Characters>3548</Characters>
  <Lines>27</Lines>
  <Paragraphs>7</Paragraphs>
  <TotalTime>373</TotalTime>
  <ScaleCrop>false</ScaleCrop>
  <LinksUpToDate>false</LinksUpToDate>
  <CharactersWithSpaces>3716</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2020-11-30T08:16:00Z</dcterms:created>
  <dc:creator>微软用户</dc:creator>
  <cp:lastModifiedBy>马雪</cp:lastModifiedBy>
  <cp:lastPrinted>2025-02-11T08:57:00Z</cp:lastPrinted>
  <dcterms:modified xsi:type="dcterms:W3CDTF">2025-04-03T08:52:29Z</dcterms:modified>
  <cp:revision>75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3173F4B2BBA7486AB19CEAE5410A8284_13</vt:lpwstr>
  </property>
  <property fmtid="{D5CDD505-2E9C-101B-9397-08002B2CF9AE}" pid="4" name="KSOTemplateDocerSaveRecord">
    <vt:lpwstr>eyJoZGlkIjoiYzIyYzJkNzEzMjQwZjVlZDkxNjFjOTcxNmM5ZTUzYzAiLCJ1c2VySWQiOiI3MDQ5NzI3MjUifQ==</vt:lpwstr>
  </property>
</Properties>
</file>