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97CE5E">
      <w:pPr>
        <w:pStyle w:val="11"/>
        <w:spacing w:before="156" w:beforeLines="50" w:after="156" w:afterLines="50" w:line="400" w:lineRule="atLeast"/>
        <w:ind w:firstLine="0" w:firstLineChars="0"/>
        <w:contextualSpacing/>
        <w:rPr>
          <w:rFonts w:hint="eastAsia" w:cs="宋体" w:asciiTheme="minorEastAsia" w:hAnsiTheme="minorEastAsia" w:eastAsiaTheme="minorEastAsia"/>
          <w:sz w:val="28"/>
          <w:szCs w:val="28"/>
        </w:rPr>
      </w:pPr>
    </w:p>
    <w:p w14:paraId="42E5C328">
      <w:pPr>
        <w:pStyle w:val="11"/>
        <w:spacing w:before="156" w:beforeLines="50" w:after="156" w:afterLines="50" w:line="400" w:lineRule="atLeast"/>
        <w:ind w:left="357" w:firstLine="0" w:firstLineChars="0"/>
        <w:contextualSpacing/>
        <w:jc w:val="distribute"/>
        <w:rPr>
          <w:rFonts w:ascii="黑体" w:hAnsi="黑体" w:eastAsia="黑体" w:cs="宋体"/>
          <w:sz w:val="48"/>
          <w:szCs w:val="48"/>
        </w:rPr>
      </w:pPr>
      <w:r>
        <w:rPr>
          <w:rFonts w:hint="eastAsia" w:ascii="黑体" w:hAnsi="黑体" w:eastAsia="黑体" w:cs="宋体"/>
          <w:sz w:val="48"/>
          <w:szCs w:val="48"/>
        </w:rPr>
        <w:t>绿色食品生产操作规程</w:t>
      </w:r>
    </w:p>
    <w:p w14:paraId="3FB3A2D4">
      <w:pPr>
        <w:pStyle w:val="11"/>
        <w:wordWrap w:val="0"/>
        <w:spacing w:before="156" w:beforeLines="50" w:after="156" w:afterLines="50" w:line="400" w:lineRule="atLeast"/>
        <w:ind w:left="357" w:firstLine="0" w:firstLineChars="0"/>
        <w:contextualSpacing/>
        <w:jc w:val="right"/>
        <w:rPr>
          <w:rFonts w:ascii="黑体" w:hAnsi="黑体" w:eastAsia="黑体" w:cs="宋体"/>
          <w:sz w:val="28"/>
          <w:szCs w:val="28"/>
        </w:rPr>
      </w:pPr>
      <w:r>
        <w:rPr>
          <w:rFonts w:eastAsia="黑体"/>
          <w:sz w:val="28"/>
          <w:szCs w:val="28"/>
        </w:rPr>
        <w:t>LB/T</w:t>
      </w:r>
      <w:r>
        <w:rPr>
          <w:rFonts w:ascii="黑体" w:hAnsi="黑体" w:eastAsia="黑体" w:cs="宋体"/>
          <w:sz w:val="28"/>
          <w:szCs w:val="28"/>
        </w:rPr>
        <w:t xml:space="preserve"> </w:t>
      </w:r>
      <w:r>
        <w:rPr>
          <w:rFonts w:hint="eastAsia" w:ascii="黑体" w:hAnsi="黑体" w:eastAsia="黑体" w:cs="宋体"/>
          <w:sz w:val="28"/>
          <w:szCs w:val="28"/>
        </w:rPr>
        <w:t>325</w:t>
      </w:r>
      <w:r>
        <w:rPr>
          <w:rFonts w:ascii="黑体" w:hAnsi="黑体" w:eastAsia="黑体" w:cs="宋体"/>
          <w:sz w:val="28"/>
          <w:szCs w:val="28"/>
        </w:rPr>
        <w:t>-2025</w:t>
      </w:r>
    </w:p>
    <w:p w14:paraId="38327B46">
      <w:pPr>
        <w:pStyle w:val="11"/>
        <w:spacing w:before="156" w:beforeLines="50" w:after="156" w:afterLines="50" w:line="400" w:lineRule="atLeast"/>
        <w:ind w:left="357" w:firstLine="0" w:firstLineChars="0"/>
        <w:contextualSpacing/>
        <w:jc w:val="right"/>
        <w:rPr>
          <w:rFonts w:ascii="黑体" w:hAnsi="黑体" w:eastAsia="黑体" w:cs="宋体"/>
          <w:sz w:val="28"/>
          <w:szCs w:val="28"/>
        </w:rPr>
      </w:pPr>
      <w:r>
        <w:rPr>
          <w:rFonts w:ascii="黑体" w:hAnsi="黑体" w:eastAsia="黑体" w:cs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76200</wp:posOffset>
                </wp:positionV>
                <wp:extent cx="5173980" cy="0"/>
                <wp:effectExtent l="0" t="4445" r="0" b="5080"/>
                <wp:wrapNone/>
                <wp:docPr id="2" name="Auto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3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" o:spid="_x0000_s1026" o:spt="32" type="#_x0000_t32" style="position:absolute;left:0pt;margin-left:12.6pt;margin-top:6pt;height:0pt;width:407.4pt;z-index:251660288;mso-width-relative:page;mso-height-relative:page;" filled="f" stroked="t" coordsize="21600,21600" o:gfxdata="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OGt9A1AAAAAgBAAAPAAAAAAAAAAEA&#10;IAAAACIAAABkcnMvZG93bnJldi54bWxQSwECFAAUAAAACACHTuJAL5grFNoBAADAAwAADgAAAAAA&#10;AAABACAAAAAj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6C626C0F">
      <w:pPr>
        <w:pStyle w:val="11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sz w:val="32"/>
          <w:szCs w:val="32"/>
        </w:rPr>
      </w:pPr>
    </w:p>
    <w:p w14:paraId="27B25F6D">
      <w:pPr>
        <w:pStyle w:val="11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sz w:val="32"/>
          <w:szCs w:val="32"/>
        </w:rPr>
      </w:pPr>
    </w:p>
    <w:p w14:paraId="0D4B27A4">
      <w:pPr>
        <w:pStyle w:val="11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sz w:val="32"/>
          <w:szCs w:val="32"/>
        </w:rPr>
      </w:pPr>
    </w:p>
    <w:p w14:paraId="24D352D9">
      <w:pPr>
        <w:pStyle w:val="11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sz w:val="32"/>
          <w:szCs w:val="32"/>
        </w:rPr>
      </w:pPr>
    </w:p>
    <w:p w14:paraId="34CD8942">
      <w:pPr>
        <w:pStyle w:val="11"/>
        <w:spacing w:before="156" w:beforeLines="50" w:after="156" w:afterLines="50" w:line="360" w:lineRule="auto"/>
        <w:ind w:firstLine="0" w:firstLineChars="0"/>
        <w:contextualSpacing/>
        <w:jc w:val="center"/>
        <w:rPr>
          <w:rFonts w:ascii="黑体" w:hAnsi="黑体" w:eastAsia="黑体" w:cs="宋体"/>
          <w:sz w:val="48"/>
          <w:szCs w:val="48"/>
        </w:rPr>
      </w:pPr>
      <w:r>
        <w:rPr>
          <w:rFonts w:hint="eastAsia" w:ascii="黑体" w:hAnsi="黑体" w:eastAsia="黑体" w:cs="宋体"/>
          <w:sz w:val="48"/>
          <w:szCs w:val="48"/>
        </w:rPr>
        <w:t>西北地区</w:t>
      </w:r>
    </w:p>
    <w:p w14:paraId="07B68E80">
      <w:pPr>
        <w:pStyle w:val="11"/>
        <w:spacing w:before="156" w:beforeLines="50" w:after="156" w:afterLines="50" w:line="360" w:lineRule="auto"/>
        <w:ind w:firstLine="0" w:firstLineChars="0"/>
        <w:contextualSpacing/>
        <w:jc w:val="center"/>
        <w:rPr>
          <w:rFonts w:ascii="黑体" w:hAnsi="黑体" w:eastAsia="黑体" w:cs="宋体"/>
          <w:sz w:val="18"/>
          <w:szCs w:val="18"/>
        </w:rPr>
      </w:pPr>
    </w:p>
    <w:p w14:paraId="5E12C7FC">
      <w:pPr>
        <w:pStyle w:val="11"/>
        <w:spacing w:before="156" w:beforeLines="50" w:after="156" w:afterLines="50" w:line="360" w:lineRule="auto"/>
        <w:ind w:firstLine="0" w:firstLineChars="0"/>
        <w:contextualSpacing/>
        <w:jc w:val="center"/>
        <w:rPr>
          <w:rFonts w:ascii="黑体" w:hAnsi="黑体" w:eastAsia="黑体" w:cs="宋体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>绿色食品李子生产操作规程</w:t>
      </w:r>
    </w:p>
    <w:p w14:paraId="5B0C7F8D">
      <w:pPr>
        <w:pStyle w:val="11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sz w:val="32"/>
          <w:szCs w:val="32"/>
        </w:rPr>
      </w:pPr>
    </w:p>
    <w:p w14:paraId="5570C09C">
      <w:pPr>
        <w:pStyle w:val="11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sz w:val="32"/>
          <w:szCs w:val="32"/>
        </w:rPr>
      </w:pPr>
    </w:p>
    <w:p w14:paraId="724AD59C">
      <w:pPr>
        <w:pStyle w:val="11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sz w:val="32"/>
          <w:szCs w:val="32"/>
        </w:rPr>
      </w:pPr>
    </w:p>
    <w:p w14:paraId="14B683E1">
      <w:pPr>
        <w:pStyle w:val="11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sz w:val="32"/>
          <w:szCs w:val="32"/>
        </w:rPr>
      </w:pPr>
    </w:p>
    <w:p w14:paraId="456DBCD9">
      <w:pPr>
        <w:pStyle w:val="11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sz w:val="32"/>
          <w:szCs w:val="32"/>
        </w:rPr>
      </w:pPr>
    </w:p>
    <w:p w14:paraId="2F2CA88C">
      <w:pPr>
        <w:pStyle w:val="11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sz w:val="32"/>
          <w:szCs w:val="32"/>
        </w:rPr>
      </w:pPr>
    </w:p>
    <w:p w14:paraId="05F368B3">
      <w:pPr>
        <w:pStyle w:val="11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sz w:val="32"/>
          <w:szCs w:val="32"/>
        </w:rPr>
      </w:pPr>
    </w:p>
    <w:p w14:paraId="63D9F921">
      <w:pPr>
        <w:pStyle w:val="11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sz w:val="32"/>
          <w:szCs w:val="32"/>
        </w:rPr>
      </w:pPr>
    </w:p>
    <w:p w14:paraId="3A27DA79">
      <w:pPr>
        <w:pStyle w:val="11"/>
        <w:spacing w:before="156" w:beforeLines="50" w:after="156" w:afterLines="50" w:line="400" w:lineRule="atLeast"/>
        <w:ind w:left="357" w:firstLine="0" w:firstLineChars="0"/>
        <w:contextualSpacing/>
        <w:jc w:val="left"/>
        <w:rPr>
          <w:rFonts w:ascii="黑体" w:hAnsi="黑体" w:eastAsia="黑体" w:cs="宋体"/>
          <w:sz w:val="28"/>
          <w:szCs w:val="28"/>
        </w:rPr>
      </w:pPr>
      <w:r>
        <w:rPr>
          <w:rFonts w:hint="eastAsia" w:ascii="黑体" w:hAnsi="黑体" w:eastAsia="黑体" w:cs="宋体"/>
          <w:sz w:val="28"/>
          <w:szCs w:val="28"/>
        </w:rPr>
        <w:t>202</w:t>
      </w:r>
      <w:r>
        <w:rPr>
          <w:rFonts w:ascii="黑体" w:hAnsi="黑体" w:eastAsia="黑体" w:cs="宋体"/>
          <w:sz w:val="28"/>
          <w:szCs w:val="28"/>
        </w:rPr>
        <w:t>5</w:t>
      </w:r>
      <w:r>
        <w:rPr>
          <w:rFonts w:hint="eastAsia" w:ascii="黑体" w:hAnsi="黑体" w:eastAsia="黑体" w:cs="宋体"/>
          <w:sz w:val="28"/>
          <w:szCs w:val="28"/>
        </w:rPr>
        <w:t>-</w:t>
      </w:r>
      <w:r>
        <w:rPr>
          <w:rFonts w:hint="eastAsia" w:ascii="黑体" w:hAnsi="黑体" w:eastAsia="黑体" w:cs="宋体"/>
          <w:sz w:val="28"/>
          <w:szCs w:val="28"/>
          <w:lang w:val="en-US" w:eastAsia="zh-CN"/>
        </w:rPr>
        <w:t>04</w:t>
      </w:r>
      <w:r>
        <w:rPr>
          <w:rFonts w:hint="eastAsia" w:ascii="黑体" w:hAnsi="黑体" w:eastAsia="黑体" w:cs="宋体"/>
          <w:sz w:val="28"/>
          <w:szCs w:val="28"/>
        </w:rPr>
        <w:t>-</w:t>
      </w:r>
      <w:r>
        <w:rPr>
          <w:rFonts w:hint="eastAsia" w:ascii="黑体" w:hAnsi="黑体" w:eastAsia="黑体" w:cs="宋体"/>
          <w:sz w:val="28"/>
          <w:szCs w:val="28"/>
          <w:lang w:val="en-US" w:eastAsia="zh-CN"/>
        </w:rPr>
        <w:t>01</w:t>
      </w:r>
      <w:r>
        <w:rPr>
          <w:rFonts w:hint="eastAsia" w:ascii="黑体" w:hAnsi="黑体" w:eastAsia="黑体" w:cs="宋体"/>
          <w:sz w:val="28"/>
          <w:szCs w:val="28"/>
        </w:rPr>
        <w:t xml:space="preserve">发布            </w:t>
      </w:r>
      <w:r>
        <w:rPr>
          <w:rFonts w:hint="eastAsia" w:ascii="黑体" w:hAnsi="黑体" w:eastAsia="黑体" w:cs="宋体"/>
          <w:sz w:val="28"/>
          <w:szCs w:val="28"/>
          <w:lang w:val="en-US" w:eastAsia="zh-CN"/>
        </w:rPr>
        <w:t xml:space="preserve">        </w:t>
      </w:r>
      <w:bookmarkStart w:id="4" w:name="_GoBack"/>
      <w:bookmarkEnd w:id="4"/>
      <w:r>
        <w:rPr>
          <w:rFonts w:hint="eastAsia" w:ascii="黑体" w:hAnsi="黑体" w:eastAsia="黑体" w:cs="宋体"/>
          <w:sz w:val="28"/>
          <w:szCs w:val="28"/>
        </w:rPr>
        <w:t xml:space="preserve">     202</w:t>
      </w:r>
      <w:r>
        <w:rPr>
          <w:rFonts w:ascii="黑体" w:hAnsi="黑体" w:eastAsia="黑体" w:cs="宋体"/>
          <w:sz w:val="28"/>
          <w:szCs w:val="28"/>
        </w:rPr>
        <w:t>5</w:t>
      </w:r>
      <w:r>
        <w:rPr>
          <w:rFonts w:hint="eastAsia" w:ascii="黑体" w:hAnsi="黑体" w:eastAsia="黑体" w:cs="宋体"/>
          <w:sz w:val="28"/>
          <w:szCs w:val="28"/>
        </w:rPr>
        <w:t>-</w:t>
      </w:r>
      <w:r>
        <w:rPr>
          <w:rFonts w:hint="eastAsia" w:ascii="黑体" w:hAnsi="黑体" w:eastAsia="黑体" w:cs="宋体"/>
          <w:sz w:val="28"/>
          <w:szCs w:val="28"/>
          <w:lang w:val="en-US" w:eastAsia="zh-CN"/>
        </w:rPr>
        <w:t>04</w:t>
      </w:r>
      <w:r>
        <w:rPr>
          <w:rFonts w:hint="eastAsia" w:ascii="黑体" w:hAnsi="黑体" w:eastAsia="黑体" w:cs="宋体"/>
          <w:sz w:val="28"/>
          <w:szCs w:val="28"/>
        </w:rPr>
        <w:t>-</w:t>
      </w:r>
      <w:r>
        <w:rPr>
          <w:rFonts w:hint="eastAsia" w:ascii="黑体" w:hAnsi="黑体" w:eastAsia="黑体" w:cs="宋体"/>
          <w:sz w:val="28"/>
          <w:szCs w:val="28"/>
          <w:lang w:val="en-US" w:eastAsia="zh-CN"/>
        </w:rPr>
        <w:t>01</w:t>
      </w:r>
      <w:r>
        <w:rPr>
          <w:rFonts w:hint="eastAsia" w:ascii="黑体" w:hAnsi="黑体" w:eastAsia="黑体" w:cs="宋体"/>
          <w:sz w:val="28"/>
          <w:szCs w:val="28"/>
        </w:rPr>
        <w:t>实施</w:t>
      </w:r>
    </w:p>
    <w:p w14:paraId="3FA05F74">
      <w:pPr>
        <w:pStyle w:val="11"/>
        <w:spacing w:before="156" w:beforeLines="50" w:after="156" w:afterLines="50" w:line="400" w:lineRule="atLeast"/>
        <w:ind w:left="357" w:firstLine="0" w:firstLineChars="0"/>
        <w:contextualSpacing/>
        <w:jc w:val="left"/>
        <w:rPr>
          <w:rFonts w:ascii="黑体" w:hAnsi="黑体" w:eastAsia="黑体" w:cs="宋体"/>
          <w:sz w:val="24"/>
          <w:szCs w:val="24"/>
        </w:rPr>
      </w:pPr>
      <w:r>
        <w:rPr>
          <w:rFonts w:ascii="黑体" w:hAnsi="黑体" w:eastAsia="黑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114300</wp:posOffset>
                </wp:positionV>
                <wp:extent cx="4853940" cy="15240"/>
                <wp:effectExtent l="0" t="4445" r="3810" b="8890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394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o:spt="32" type="#_x0000_t32" style="position:absolute;left:0pt;margin-left:16.2pt;margin-top:9pt;height:1.2pt;width:382.2pt;z-index:251659264;mso-width-relative:page;mso-height-relative:page;" filled="f" stroked="t" coordsize="21600,21600" o:gfxdata="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RqLaR1wAAAAgBAAAPAAAA&#10;AAAAAAEAIAAAACIAAABkcnMvZG93bnJldi54bWxQSwECFAAUAAAACACHTuJAaTg5q90BAADEAwAA&#10;DgAAAAAAAAABACAAAAAm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15F53CE5">
      <w:pPr>
        <w:pStyle w:val="11"/>
        <w:spacing w:before="156" w:beforeLines="50" w:after="156" w:afterLines="50" w:line="400" w:lineRule="atLeast"/>
        <w:ind w:left="357" w:firstLine="0" w:firstLineChars="0"/>
        <w:contextualSpacing/>
        <w:jc w:val="center"/>
      </w:pPr>
      <w:r>
        <w:rPr>
          <w:rFonts w:hint="eastAsia" w:ascii="华文中宋" w:hAnsi="华文中宋" w:eastAsia="华文中宋" w:cs="宋体"/>
          <w:spacing w:val="71"/>
          <w:kern w:val="0"/>
          <w:sz w:val="32"/>
          <w:szCs w:val="32"/>
          <w:fitText w:val="4480" w:id="1526356482"/>
        </w:rPr>
        <w:t>中国绿色食品发展中</w:t>
      </w:r>
      <w:r>
        <w:rPr>
          <w:rFonts w:hint="eastAsia" w:ascii="华文中宋" w:hAnsi="华文中宋" w:eastAsia="华文中宋" w:cs="宋体"/>
          <w:spacing w:val="1"/>
          <w:kern w:val="0"/>
          <w:sz w:val="32"/>
          <w:szCs w:val="32"/>
          <w:fitText w:val="4480" w:id="1526356482"/>
        </w:rPr>
        <w:t>心</w:t>
      </w:r>
      <w:r>
        <w:rPr>
          <w:rFonts w:hint="eastAsia" w:ascii="黑体" w:hAnsi="黑体" w:eastAsia="黑体" w:cs="宋体"/>
          <w:sz w:val="28"/>
          <w:szCs w:val="28"/>
        </w:rPr>
        <w:t>发 布</w:t>
      </w:r>
      <w:r>
        <w:rPr>
          <w:rFonts w:hint="eastAsia"/>
        </w:rPr>
        <w:br w:type="page"/>
      </w:r>
    </w:p>
    <w:p w14:paraId="788CB95A">
      <w:pPr>
        <w:pStyle w:val="11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sz w:val="32"/>
          <w:szCs w:val="32"/>
        </w:rPr>
      </w:pPr>
    </w:p>
    <w:p w14:paraId="658D6D0B">
      <w:pPr>
        <w:pStyle w:val="11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前  言</w:t>
      </w:r>
    </w:p>
    <w:p w14:paraId="27FD954D">
      <w:pPr>
        <w:pStyle w:val="11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sz w:val="32"/>
          <w:szCs w:val="32"/>
        </w:rPr>
      </w:pPr>
    </w:p>
    <w:p w14:paraId="34E3AC63">
      <w:pPr>
        <w:pStyle w:val="11"/>
        <w:spacing w:before="156" w:beforeLines="50" w:after="156" w:afterLines="50" w:line="400" w:lineRule="atLeast"/>
        <w:contextualSpacing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本文件由中国绿色食品发展中心提出并归口。</w:t>
      </w:r>
    </w:p>
    <w:p w14:paraId="761959C0">
      <w:pPr>
        <w:pStyle w:val="11"/>
        <w:spacing w:before="156" w:beforeLines="50" w:after="156" w:afterLines="50" w:line="400" w:lineRule="atLeast"/>
        <w:contextualSpacing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本文件起草单位：甘肃省农业科学院畜草与绿色农业研究所（农业质量标准与检测技术研究所）、甘肃省绿色食品办公室、甘肃省绿色食品协会、中国绿色食品发展中心、新疆农产品质量安全中心、陕西省农产品质量安全中心、宁夏农产品质量安全中心、内蒙古自治区绿色食品发展中心、甘肃省农业科学院农产品贮藏加工研究所、张掖市林业科学研究所、白银市农业科学研究所、兰州市七里河区农业技术推广站、庆阳市西峰区农技推广中心、庆阳市合水县农业示范园、西安市农产品质量安全检验监测中心、西安市李杏研究所、巴彦淖尔市农畜产品质量安全中心。</w:t>
      </w:r>
    </w:p>
    <w:p w14:paraId="0DB788E1">
      <w:pPr>
        <w:pStyle w:val="11"/>
        <w:spacing w:before="156" w:beforeLines="50" w:after="156" w:afterLines="50" w:line="400" w:lineRule="atLeast"/>
        <w:contextualSpacing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本文件主要起草人：满润、李瑞琴、伏艳春、</w:t>
      </w:r>
      <w:r>
        <w:rPr>
          <w:rFonts w:hint="eastAsia" w:ascii="宋体"/>
        </w:rPr>
        <w:t>王玉安</w:t>
      </w:r>
      <w:r>
        <w:rPr>
          <w:rFonts w:hint="eastAsia" w:ascii="宋体" w:hAnsi="宋体" w:cs="宋体"/>
        </w:rPr>
        <w:t>、吕志刚、郭斌、张爱琴、徐瑞、许文艳、于安芬、马雪、冯军仁、杜锡莹、王刚、</w:t>
      </w:r>
      <w:r>
        <w:rPr>
          <w:rFonts w:hint="eastAsia" w:ascii="宋体"/>
        </w:rPr>
        <w:t>陈璐、</w:t>
      </w:r>
      <w:r>
        <w:rPr>
          <w:rFonts w:hint="eastAsia" w:ascii="宋体" w:hAnsi="宋体" w:cs="宋体"/>
        </w:rPr>
        <w:t>于培杰、云岩春、彭丽、孙永、崔爱文、任乐、殷生俊。</w:t>
      </w:r>
    </w:p>
    <w:p w14:paraId="4D5A5FA4">
      <w:pPr>
        <w:rPr>
          <w:rFonts w:ascii="黑体" w:hAnsi="黑体" w:eastAsia="黑体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br w:type="page"/>
      </w:r>
    </w:p>
    <w:p w14:paraId="41E8F4D1">
      <w:pPr>
        <w:pStyle w:val="11"/>
        <w:spacing w:before="156" w:beforeLines="50" w:after="312" w:afterLines="10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西北地区</w:t>
      </w:r>
    </w:p>
    <w:p w14:paraId="2812B825">
      <w:pPr>
        <w:pStyle w:val="11"/>
        <w:spacing w:before="156" w:beforeLines="50" w:after="312" w:afterLines="100" w:line="400" w:lineRule="atLeast"/>
        <w:ind w:left="357" w:firstLine="0" w:firstLineChars="0"/>
        <w:contextualSpacing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绿色食品李子生产操作规程</w:t>
      </w:r>
    </w:p>
    <w:p w14:paraId="6DA217C5">
      <w:pPr>
        <w:pStyle w:val="21"/>
        <w:spacing w:before="312" w:after="312"/>
        <w:rPr>
          <w:szCs w:val="21"/>
        </w:rPr>
      </w:pPr>
      <w:r>
        <w:rPr>
          <w:rFonts w:hint="eastAsia"/>
          <w:szCs w:val="21"/>
        </w:rPr>
        <w:t>范围</w:t>
      </w:r>
    </w:p>
    <w:p w14:paraId="095FBE29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本文件规定了西北地区绿色食品李子的建园、土肥水管理、花果管理、病虫害防治、采收、包装及储运、生产废弃物处理和生产技术档案等。</w:t>
      </w:r>
    </w:p>
    <w:p w14:paraId="1AEC22F0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本文件适用于内蒙古西部、陕西、甘肃、青海、宁夏、新疆等地区绿色食品李子的生产。</w:t>
      </w:r>
    </w:p>
    <w:p w14:paraId="4B80463D">
      <w:pPr>
        <w:pStyle w:val="21"/>
        <w:spacing w:before="312" w:after="312" w:line="400" w:lineRule="exact"/>
        <w:rPr>
          <w:szCs w:val="21"/>
        </w:rPr>
      </w:pPr>
      <w:r>
        <w:rPr>
          <w:rFonts w:hint="eastAsia"/>
          <w:szCs w:val="21"/>
        </w:rPr>
        <w:t>规范性引用文件</w:t>
      </w:r>
    </w:p>
    <w:p w14:paraId="6FBCBEBB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ascii="Times New Roman"/>
          <w:color w:val="000000" w:themeColor="text1"/>
          <w:lang w:bidi="ar"/>
          <w14:textFill>
            <w14:solidFill>
              <w14:schemeClr w14:val="tx1"/>
            </w14:solidFill>
          </w14:textFill>
        </w:rPr>
        <w:t>下列文件中的内容通过文中的规范性引用而构成本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规程</w:t>
      </w:r>
      <w:r>
        <w:rPr>
          <w:rFonts w:ascii="Times New Roman"/>
          <w:color w:val="000000" w:themeColor="text1"/>
          <w:lang w:bidi="ar"/>
          <w14:textFill>
            <w14:solidFill>
              <w14:schemeClr w14:val="tx1"/>
            </w14:solidFill>
          </w14:textFill>
        </w:rPr>
        <w:t>必不可少的条款。其中，注日期的引用文件，仅该日期的版本适用于本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规程</w:t>
      </w:r>
      <w:r>
        <w:rPr>
          <w:rFonts w:ascii="Times New Roman"/>
          <w:color w:val="000000" w:themeColor="text1"/>
          <w:lang w:bidi="ar"/>
          <w14:textFill>
            <w14:solidFill>
              <w14:schemeClr w14:val="tx1"/>
            </w14:solidFill>
          </w14:textFill>
        </w:rPr>
        <w:t>。不注日期的引用文件，其最新版本（包括所有的修改单）适用于本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规程</w:t>
      </w:r>
      <w:r>
        <w:rPr>
          <w:rFonts w:ascii="Times New Roman"/>
          <w:color w:val="000000" w:themeColor="text1"/>
          <w:lang w:bidi="ar"/>
          <w14:textFill>
            <w14:solidFill>
              <w14:schemeClr w14:val="tx1"/>
            </w14:solidFill>
          </w14:textFill>
        </w:rPr>
        <w:t>。</w:t>
      </w:r>
    </w:p>
    <w:p w14:paraId="7E6DA933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NY/T 391 绿色食品 产地环境质量</w:t>
      </w:r>
    </w:p>
    <w:p w14:paraId="38FB983B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NY/T 393 绿色食品 农药使用准则</w:t>
      </w:r>
    </w:p>
    <w:p w14:paraId="6830AF55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NY/T 394 绿色食品 肥料使用准则</w:t>
      </w:r>
    </w:p>
    <w:p w14:paraId="34E8F118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NY/T 658 绿色食品 包装通用准则</w:t>
      </w:r>
    </w:p>
    <w:p w14:paraId="5A12D1DF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NY/T 844 绿色食品 温带水果</w:t>
      </w:r>
    </w:p>
    <w:p w14:paraId="63F3C1BB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NY/T 1056 绿色食品 储藏运输准则</w:t>
      </w:r>
    </w:p>
    <w:p w14:paraId="1402E899">
      <w:pPr>
        <w:pStyle w:val="21"/>
        <w:spacing w:before="312" w:after="312" w:line="400" w:lineRule="exact"/>
        <w:rPr>
          <w:bCs/>
          <w:szCs w:val="21"/>
        </w:rPr>
      </w:pPr>
      <w:r>
        <w:rPr>
          <w:bCs/>
          <w:szCs w:val="21"/>
        </w:rPr>
        <w:t>建园</w:t>
      </w:r>
    </w:p>
    <w:p w14:paraId="2F2834A8">
      <w:pPr>
        <w:pStyle w:val="22"/>
        <w:spacing w:before="156" w:after="156" w:line="400" w:lineRule="exact"/>
        <w:rPr>
          <w:rFonts w:ascii="Times New Roman"/>
          <w:bCs/>
        </w:rPr>
      </w:pPr>
      <w:r>
        <w:rPr>
          <w:rFonts w:ascii="Times New Roman"/>
          <w:bCs/>
        </w:rPr>
        <w:t>园地选择</w:t>
      </w:r>
    </w:p>
    <w:p w14:paraId="008877D7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选土层深厚、排灌方便、土壤pH 5.5～8.5、有机质≥1%的壤土、轻壤土或沙壤土，年平均气温7 ℃～18 ℃、年日照时数≥2000 h、坡度≤25度以下、交通便利、远离工业园、无核果类重茬的地块建园。产地环境符合NY/T 391的规定。</w:t>
      </w:r>
    </w:p>
    <w:p w14:paraId="69E7382C">
      <w:pPr>
        <w:pStyle w:val="22"/>
        <w:spacing w:before="156" w:after="156" w:line="400" w:lineRule="exact"/>
      </w:pPr>
      <w:r>
        <w:rPr>
          <w:rFonts w:hint="eastAsia"/>
        </w:rPr>
        <w:t>苗木选择</w:t>
      </w:r>
    </w:p>
    <w:p w14:paraId="58DA45D3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选择栽培品种纯正、嫁接口离地面10 cm～15 cm且愈合良好、苗高≥1 m、嫁接口粗度≥1 cm、主根长≥25 cm、侧根5条以上、整形带有8个以上饱满芽的健壮苗木。砧木可选用山桃、山杏等。</w:t>
      </w:r>
    </w:p>
    <w:p w14:paraId="066FB960">
      <w:pPr>
        <w:pStyle w:val="22"/>
        <w:spacing w:before="156" w:after="156" w:line="400" w:lineRule="exact"/>
        <w:rPr>
          <w:rFonts w:ascii="Times New Roman"/>
          <w:bCs/>
        </w:rPr>
      </w:pPr>
      <w:r>
        <w:rPr>
          <w:rFonts w:ascii="Times New Roman"/>
          <w:bCs/>
        </w:rPr>
        <w:t>栽植时期</w:t>
      </w:r>
    </w:p>
    <w:p w14:paraId="46E04691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秋冬或春季栽植，秋冬栽植一般在苗木落叶后至土壤封冻前，春季栽植一般在土壤解冻后至苗木萌芽前。春季回暖快或冬季不太寒冷的地区适宜秋冬栽植。</w:t>
      </w:r>
    </w:p>
    <w:p w14:paraId="4EDBC4EF">
      <w:pPr>
        <w:pStyle w:val="22"/>
        <w:spacing w:before="156" w:after="156" w:line="400" w:lineRule="exact"/>
      </w:pPr>
      <w:r>
        <w:rPr>
          <w:rFonts w:hint="eastAsia"/>
        </w:rPr>
        <w:t>栽植技术</w:t>
      </w:r>
    </w:p>
    <w:p w14:paraId="63502104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采用沟栽或穴栽，根系深度同原苗木。栽植前完成园地平整、开沟或挖穴、施肥、灌水沉实。栽植时对苗木根系适当修剪，并在清水中浸泡12 h。栽植后浇足定根水，树盘覆膜保墒，及时定干。</w:t>
      </w:r>
    </w:p>
    <w:p w14:paraId="208EAAE0">
      <w:pPr>
        <w:pStyle w:val="22"/>
        <w:spacing w:before="156" w:after="156" w:line="400" w:lineRule="exact"/>
      </w:pPr>
      <w:r>
        <w:rPr>
          <w:rFonts w:hint="eastAsia"/>
        </w:rPr>
        <w:t>栽植密度</w:t>
      </w:r>
    </w:p>
    <w:p w14:paraId="779AC951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根据园地大小、栽培品种、栽培模式选择不同的栽植密度。一般在平原地建园，株行距2.5 m～3 m×4.5 m～5 m，密度44株/亩～59株/亩；山地果园株行距2.0 m～3 m×4 m～4.5 m，密度49株/亩～83株/亩。</w:t>
      </w:r>
    </w:p>
    <w:p w14:paraId="1BDA8174">
      <w:pPr>
        <w:pStyle w:val="22"/>
        <w:tabs>
          <w:tab w:val="center" w:pos="4201"/>
          <w:tab w:val="right" w:leader="dot" w:pos="9298"/>
        </w:tabs>
        <w:spacing w:before="156" w:after="156" w:line="400" w:lineRule="exact"/>
        <w:rPr>
          <w:rFonts w:ascii="Times New Roman"/>
        </w:rPr>
      </w:pPr>
      <w:r>
        <w:rPr>
          <w:rFonts w:hint="eastAsia" w:ascii="Times New Roman"/>
          <w:bCs/>
        </w:rPr>
        <w:t>主栽</w:t>
      </w:r>
      <w:r>
        <w:rPr>
          <w:rFonts w:ascii="Times New Roman"/>
          <w:bCs/>
        </w:rPr>
        <w:t>品种</w:t>
      </w:r>
      <w:r>
        <w:rPr>
          <w:rFonts w:hint="eastAsia" w:ascii="Times New Roman"/>
          <w:bCs/>
        </w:rPr>
        <w:t>与</w:t>
      </w:r>
      <w:r>
        <w:rPr>
          <w:rFonts w:hint="eastAsia" w:ascii="Times New Roman"/>
        </w:rPr>
        <w:t>授粉树配置</w:t>
      </w:r>
    </w:p>
    <w:p w14:paraId="09D641B2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选择适应性好、抗逆性强、综合品质突出的国内外优良品种，推荐品种主要有：大李特早红、红宝石、龙园蜜李、琥珀李、女神、法兰西、蓝蜜、红西梅等。按主栽品种</w:t>
      </w:r>
      <w:r>
        <w:rPr>
          <w:rFonts w:hint="eastAsia"/>
          <w:b/>
          <w:bCs/>
          <w:szCs w:val="21"/>
        </w:rPr>
        <w:t>﹕</w:t>
      </w:r>
      <w:r>
        <w:rPr>
          <w:rFonts w:hint="eastAsia"/>
          <w:szCs w:val="21"/>
        </w:rPr>
        <w:t>授粉品种=5</w:t>
      </w:r>
      <w:r>
        <w:rPr>
          <w:rFonts w:hint="eastAsia"/>
          <w:b/>
          <w:bCs/>
          <w:szCs w:val="21"/>
        </w:rPr>
        <w:t>﹕</w:t>
      </w:r>
      <w:r>
        <w:rPr>
          <w:rFonts w:hint="eastAsia"/>
          <w:szCs w:val="21"/>
        </w:rPr>
        <w:t>1配置授粉树。授粉品种要求和主栽品种同花期、花粉量大，综合品质较好。</w:t>
      </w:r>
    </w:p>
    <w:p w14:paraId="71C61C35">
      <w:pPr>
        <w:pStyle w:val="21"/>
        <w:spacing w:before="312" w:after="312" w:line="400" w:lineRule="exact"/>
        <w:rPr>
          <w:szCs w:val="21"/>
        </w:rPr>
      </w:pPr>
      <w:bookmarkStart w:id="0" w:name="OLE_LINK45"/>
      <w:bookmarkStart w:id="1" w:name="OLE_LINK44"/>
      <w:r>
        <w:rPr>
          <w:rFonts w:hint="eastAsia"/>
          <w:szCs w:val="21"/>
        </w:rPr>
        <w:t>土肥水管理</w:t>
      </w:r>
    </w:p>
    <w:bookmarkEnd w:id="0"/>
    <w:bookmarkEnd w:id="1"/>
    <w:p w14:paraId="64FE8629">
      <w:pPr>
        <w:pStyle w:val="22"/>
        <w:spacing w:before="156" w:after="156" w:line="400" w:lineRule="exact"/>
      </w:pPr>
      <w:r>
        <w:rPr>
          <w:rFonts w:hint="eastAsia"/>
        </w:rPr>
        <w:t>土壤管理</w:t>
      </w:r>
    </w:p>
    <w:p w14:paraId="3F1010D3">
      <w:pPr>
        <w:pStyle w:val="23"/>
        <w:spacing w:before="156" w:after="156" w:line="400" w:lineRule="exact"/>
      </w:pPr>
      <w:r>
        <w:rPr>
          <w:rFonts w:hint="eastAsia"/>
        </w:rPr>
        <w:t>土壤耕翻</w:t>
      </w:r>
    </w:p>
    <w:p w14:paraId="1935FC32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分为扩穴深翻和全园中耕浅翻。扩穴深翻结合秋施基肥进行，在树冠投影线向外挖环状沟或平行沟，沟宽30 cm～50 cm，深30 cm～50 cm。回填时表土混匀充分腐熟的农家肥或商品有机肥填入底层，底土回填表层，然后灌水。逐年外扩直到两棵树深翻沟相接，然后再重新开始。</w:t>
      </w:r>
    </w:p>
    <w:p w14:paraId="3F440708">
      <w:pPr>
        <w:pStyle w:val="23"/>
        <w:spacing w:before="156" w:after="156" w:line="400" w:lineRule="exact"/>
      </w:pPr>
      <w:r>
        <w:rPr>
          <w:rFonts w:hint="eastAsia"/>
        </w:rPr>
        <w:t>树盘覆盖</w:t>
      </w:r>
    </w:p>
    <w:p w14:paraId="43DF552F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早春树盘顶凌覆膜或覆盖园艺地布，实现抗旱保墒并抑制杂草。在降雨多的地区或年份，雨季及时揭去地膜。</w:t>
      </w:r>
    </w:p>
    <w:p w14:paraId="0997E2BB">
      <w:pPr>
        <w:pStyle w:val="23"/>
        <w:spacing w:before="156" w:after="156" w:line="400" w:lineRule="exact"/>
      </w:pPr>
      <w:r>
        <w:rPr>
          <w:rFonts w:hint="eastAsia"/>
        </w:rPr>
        <w:t xml:space="preserve">园地覆草 </w:t>
      </w:r>
    </w:p>
    <w:p w14:paraId="103EDFF3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春季树体萌芽后，树下浅耕一次，然后选用小麦、玉米等农作物秸杆对全园进行覆盖，厚度15 cm～20 cm。3年～4年后进行深翻并重新覆草，覆草李子园加强防火。</w:t>
      </w:r>
    </w:p>
    <w:p w14:paraId="7517FF7F">
      <w:pPr>
        <w:pStyle w:val="24"/>
        <w:numPr>
          <w:ilvl w:val="2"/>
          <w:numId w:val="1"/>
        </w:numPr>
        <w:spacing w:before="156" w:after="156" w:line="400" w:lineRule="exact"/>
        <w:rPr>
          <w:szCs w:val="21"/>
        </w:rPr>
      </w:pPr>
      <w:r>
        <w:rPr>
          <w:rFonts w:hint="eastAsia"/>
          <w:szCs w:val="21"/>
        </w:rPr>
        <w:t xml:space="preserve">种植绿肥 </w:t>
      </w:r>
    </w:p>
    <w:p w14:paraId="2831F0B1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幼龄果园行间种植绿肥实现增肥改土。绿肥作物秋播选用油菜、毛苕子、白三叶草等，春夏播选用红小豆、绿豆等，一年刈割2次～3次。低杆绿肥直接翻压，中高杆绿肥刈割后覆盖树盘。</w:t>
      </w:r>
    </w:p>
    <w:p w14:paraId="482AD409">
      <w:pPr>
        <w:pStyle w:val="24"/>
        <w:numPr>
          <w:ilvl w:val="2"/>
          <w:numId w:val="1"/>
        </w:numPr>
        <w:spacing w:before="156" w:after="156" w:line="400" w:lineRule="exact"/>
        <w:rPr>
          <w:szCs w:val="21"/>
        </w:rPr>
      </w:pPr>
      <w:r>
        <w:rPr>
          <w:rFonts w:hint="eastAsia"/>
          <w:szCs w:val="21"/>
        </w:rPr>
        <w:t xml:space="preserve">果园生草 </w:t>
      </w:r>
    </w:p>
    <w:p w14:paraId="0FC16212">
      <w:pPr>
        <w:pStyle w:val="24"/>
        <w:numPr>
          <w:ilvl w:val="3"/>
          <w:numId w:val="1"/>
        </w:numPr>
        <w:spacing w:before="156" w:after="156" w:line="400" w:lineRule="exact"/>
        <w:rPr>
          <w:szCs w:val="21"/>
        </w:rPr>
      </w:pPr>
      <w:r>
        <w:rPr>
          <w:rFonts w:hint="eastAsia"/>
          <w:szCs w:val="21"/>
        </w:rPr>
        <w:t xml:space="preserve">自然生草 </w:t>
      </w:r>
    </w:p>
    <w:p w14:paraId="371C8F4A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人工挖除恶性杂草，保留有益低矮杂草。高度超过30 cm时，及时刈割还田。</w:t>
      </w:r>
    </w:p>
    <w:p w14:paraId="5C8B2292">
      <w:pPr>
        <w:pStyle w:val="24"/>
        <w:numPr>
          <w:ilvl w:val="3"/>
          <w:numId w:val="1"/>
        </w:numPr>
        <w:spacing w:before="156" w:after="156" w:line="400" w:lineRule="exact"/>
        <w:rPr>
          <w:szCs w:val="21"/>
        </w:rPr>
      </w:pPr>
      <w:r>
        <w:rPr>
          <w:rFonts w:hint="eastAsia"/>
          <w:szCs w:val="21"/>
        </w:rPr>
        <w:t xml:space="preserve">人工种草 </w:t>
      </w:r>
    </w:p>
    <w:p w14:paraId="74BD0530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rFonts w:ascii="Times New Roman"/>
          <w:szCs w:val="21"/>
        </w:rPr>
      </w:pPr>
      <w:r>
        <w:rPr>
          <w:rFonts w:hint="eastAsia"/>
          <w:szCs w:val="21"/>
        </w:rPr>
        <w:t>在灌区、降雨量大的山地果园，选择适宜本地生长、产草量大、低杆浅根性草种如三叶草、黑麦草、毛苕子、油菜花等1种～2种混合草种，在果园行间条播或撒播。生草高度超过30 cm时刈割还田或作饲料。种草3年～5年后，进行园土深翻，腐化肥田，重新进行生草。</w:t>
      </w:r>
    </w:p>
    <w:p w14:paraId="0E9C3724">
      <w:pPr>
        <w:pStyle w:val="22"/>
        <w:spacing w:before="156" w:after="156" w:line="400" w:lineRule="exact"/>
      </w:pPr>
      <w:r>
        <w:rPr>
          <w:rFonts w:hint="eastAsia"/>
        </w:rPr>
        <w:t>施肥</w:t>
      </w:r>
    </w:p>
    <w:p w14:paraId="1C25F3CC">
      <w:pPr>
        <w:pStyle w:val="23"/>
        <w:spacing w:before="156" w:after="156" w:line="400" w:lineRule="exact"/>
        <w:rPr>
          <w:rFonts w:ascii="Times New Roman"/>
        </w:rPr>
      </w:pPr>
      <w:r>
        <w:rPr>
          <w:rFonts w:hint="eastAsia" w:ascii="Times New Roman"/>
        </w:rPr>
        <w:t>幼树期</w:t>
      </w:r>
    </w:p>
    <w:p w14:paraId="78E80620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以氮肥为主，勤施薄施、少量多次。一般全年追肥3次～4次，于春季萌芽后新梢10 cm～15 cm时，追施第1次肥水，夏季追施2次，每株喷施0.2%尿素+0.2%复合肥4 kg。秋季结合扩穴深翻，施充分腐熟的农家肥或商品有机肥，按照行向左右轮换的方式施肥。肥料使用符合NY/T 394的规定。</w:t>
      </w:r>
    </w:p>
    <w:p w14:paraId="1BEE0705">
      <w:pPr>
        <w:pStyle w:val="23"/>
        <w:spacing w:before="156" w:after="156" w:line="400" w:lineRule="exact"/>
      </w:pPr>
      <w:r>
        <w:rPr>
          <w:rFonts w:hint="eastAsia" w:ascii="Times New Roman"/>
        </w:rPr>
        <w:t>盛果期</w:t>
      </w:r>
    </w:p>
    <w:p w14:paraId="455DF1F3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采收后结合扩穴深翻，施足基肥，施入腐熟农家肥2500 kg/亩～3000 kg/亩、过磷酸钙150 kg/亩～300 kg/亩、生物菌肥等；萌芽前施一次“萌芽肥”，以氮肥为主，尿素25 kg/亩～35 kg/亩+磷二铵5kg/亩～10 kg/亩；果实膨大期施“壮果肥”，以三元复合肥为主，（N-P-K=15-15-15）1.5 kg/株～2.5 kg/株；采果前1个月施入硫酸钾5 kg/亩～10 kg/亩。同时，结合病虫害防治叶面喷施0.3%～0.5%的尿素和0.2%～0.3%的磷酸二氢钾水溶液，肥料使用符合NY/T 394的规定。</w:t>
      </w:r>
    </w:p>
    <w:p w14:paraId="056CC6A6">
      <w:pPr>
        <w:pStyle w:val="22"/>
        <w:spacing w:before="156" w:after="156" w:line="400" w:lineRule="exact"/>
      </w:pPr>
      <w:r>
        <w:rPr>
          <w:rFonts w:hint="eastAsia"/>
        </w:rPr>
        <w:t>灌水</w:t>
      </w:r>
    </w:p>
    <w:p w14:paraId="289F7351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春季早灌，冬季饱灌，生长期每次施肥后灌水。可采用滴灌、沟灌、畦灌、穴灌、喷灌等节水灌溉技术，萌芽前、幼果发育期、果实膨大期、土壤封冻前及时灌水，全年灌水量600m</w:t>
      </w:r>
      <w:r>
        <w:rPr>
          <w:rFonts w:hint="eastAsia"/>
          <w:szCs w:val="21"/>
          <w:vertAlign w:val="superscript"/>
        </w:rPr>
        <w:t>3</w:t>
      </w:r>
      <w:r>
        <w:rPr>
          <w:rFonts w:hint="eastAsia"/>
          <w:szCs w:val="21"/>
        </w:rPr>
        <w:t>/亩～700m</w:t>
      </w:r>
      <w:r>
        <w:rPr>
          <w:rFonts w:hint="eastAsia"/>
          <w:szCs w:val="21"/>
          <w:vertAlign w:val="superscript"/>
        </w:rPr>
        <w:t>3</w:t>
      </w:r>
      <w:r>
        <w:rPr>
          <w:rFonts w:hint="eastAsia"/>
          <w:szCs w:val="21"/>
        </w:rPr>
        <w:t>/亩，7月～8月视降水量进行灌水，果园积水超过5 h后及时排水；提倡水肥一体化，每年灌水12次～14次，覆膜滴灌灌溉定额15m</w:t>
      </w:r>
      <w:r>
        <w:rPr>
          <w:rFonts w:hint="eastAsia"/>
          <w:szCs w:val="21"/>
          <w:vertAlign w:val="superscript"/>
        </w:rPr>
        <w:t>3</w:t>
      </w:r>
      <w:r>
        <w:rPr>
          <w:rFonts w:hint="eastAsia"/>
          <w:szCs w:val="21"/>
        </w:rPr>
        <w:t>/亩～20m</w:t>
      </w:r>
      <w:r>
        <w:rPr>
          <w:rFonts w:hint="eastAsia"/>
          <w:szCs w:val="21"/>
          <w:vertAlign w:val="superscript"/>
        </w:rPr>
        <w:t>3</w:t>
      </w:r>
      <w:r>
        <w:rPr>
          <w:rFonts w:hint="eastAsia"/>
          <w:szCs w:val="21"/>
        </w:rPr>
        <w:t>/亩。</w:t>
      </w:r>
    </w:p>
    <w:p w14:paraId="53AC2EFE">
      <w:pPr>
        <w:pStyle w:val="22"/>
        <w:spacing w:before="156" w:after="156" w:line="400" w:lineRule="exact"/>
      </w:pPr>
      <w:r>
        <w:rPr>
          <w:rFonts w:hint="eastAsia"/>
        </w:rPr>
        <w:t>树形结构</w:t>
      </w:r>
    </w:p>
    <w:p w14:paraId="71C680B9">
      <w:pPr>
        <w:pStyle w:val="23"/>
        <w:spacing w:before="156" w:after="156" w:line="400" w:lineRule="exact"/>
      </w:pPr>
      <w:r>
        <w:rPr>
          <w:rFonts w:hint="eastAsia" w:ascii="Times New Roman"/>
        </w:rPr>
        <w:t>自然开心形</w:t>
      </w:r>
    </w:p>
    <w:p w14:paraId="6CE7CA0D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主干高度50 cm～60 cm，主枝3个～4个，开张角度50°～60°，每主枝培养2个～3个侧枝，在主枝和侧枝上多培养结果枝组，以扩大结果面积。</w:t>
      </w:r>
    </w:p>
    <w:p w14:paraId="40E70041">
      <w:pPr>
        <w:pStyle w:val="23"/>
        <w:spacing w:before="156" w:after="156" w:line="400" w:lineRule="exact"/>
        <w:rPr>
          <w:rFonts w:ascii="Times New Roman"/>
        </w:rPr>
      </w:pPr>
      <w:r>
        <w:rPr>
          <w:rFonts w:hint="eastAsia" w:ascii="Times New Roman"/>
        </w:rPr>
        <w:t>疏散分层形</w:t>
      </w:r>
    </w:p>
    <w:p w14:paraId="57BACE77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有中心干，干高0.5 m～0.7 m，树高3 m～3.5 m，主枝5个～7个，分3层，层间距0.8 m～1.0 m。第1层3个主枝，每一主枝着生2个～3个侧枝和若干结果枝组；第2层2个主枝，每一主枝着生1个～2个侧枝和若干结果枝组；第3层1个主枝，着生1个～2个侧枝和若干结果枝组。层间主枝垂直方向不重叠。</w:t>
      </w:r>
    </w:p>
    <w:p w14:paraId="06FA2A4E">
      <w:pPr>
        <w:pStyle w:val="22"/>
        <w:spacing w:before="156" w:after="156" w:line="400" w:lineRule="exact"/>
        <w:rPr>
          <w:rFonts w:ascii="Times New Roman"/>
        </w:rPr>
      </w:pPr>
      <w:r>
        <w:rPr>
          <w:rFonts w:hint="eastAsia" w:ascii="Times New Roman"/>
        </w:rPr>
        <w:t>整形修剪</w:t>
      </w:r>
    </w:p>
    <w:p w14:paraId="69619541">
      <w:pPr>
        <w:pStyle w:val="23"/>
        <w:spacing w:before="156" w:after="156" w:line="400" w:lineRule="exact"/>
        <w:rPr>
          <w:rFonts w:ascii="Times New Roman"/>
        </w:rPr>
      </w:pPr>
      <w:r>
        <w:rPr>
          <w:rFonts w:hint="eastAsia" w:ascii="Times New Roman"/>
        </w:rPr>
        <w:t>幼树</w:t>
      </w:r>
    </w:p>
    <w:p w14:paraId="420AE3FE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定植后在距离地面0.7 m～0.9 m高处定干，及时保护伤口。发芽后针对不同树形，选留方向合适的新梢培养主枝。主枝长至45 cm时摘心，促发侧枝。侧枝长至30 cm时摘心，培养形成结果枝。</w:t>
      </w:r>
    </w:p>
    <w:p w14:paraId="1CE6969D">
      <w:pPr>
        <w:pStyle w:val="23"/>
        <w:spacing w:before="156" w:after="156" w:line="400" w:lineRule="exact"/>
        <w:rPr>
          <w:rFonts w:ascii="Times New Roman"/>
        </w:rPr>
      </w:pPr>
      <w:r>
        <w:rPr>
          <w:rFonts w:hint="eastAsia" w:ascii="Times New Roman"/>
        </w:rPr>
        <w:t>盛果树</w:t>
      </w:r>
    </w:p>
    <w:p w14:paraId="45B94F7E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盛果树以疏剪为主、短截为辅，平衡树势、复壮枝组、延长结果年限。春季主要进行抹芽除萌，夏季主要进行摘心、疏剪，冬季重点回缩结果枝，疏除交叉、重叠、干枯、病虫枝。</w:t>
      </w:r>
    </w:p>
    <w:p w14:paraId="085FAE34">
      <w:pPr>
        <w:pStyle w:val="23"/>
        <w:spacing w:before="156" w:after="156" w:line="400" w:lineRule="exact"/>
        <w:rPr>
          <w:rFonts w:ascii="Times New Roman"/>
        </w:rPr>
      </w:pPr>
      <w:r>
        <w:rPr>
          <w:rFonts w:hint="eastAsia" w:ascii="Times New Roman"/>
        </w:rPr>
        <w:t>衰老树</w:t>
      </w:r>
    </w:p>
    <w:p w14:paraId="23DF4720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衰老树以更新复壮为主要目的，冬季修剪重点通过疏剪减少花量、合理负载，通过重短接促发新枝，实现更新。同时，疏除病虫枝、重叠枝和过密枝。</w:t>
      </w:r>
    </w:p>
    <w:p w14:paraId="47213153">
      <w:pPr>
        <w:pStyle w:val="21"/>
        <w:spacing w:before="312" w:after="312" w:line="400" w:lineRule="exact"/>
        <w:rPr>
          <w:szCs w:val="21"/>
        </w:rPr>
      </w:pPr>
      <w:r>
        <w:rPr>
          <w:rFonts w:hint="eastAsia"/>
          <w:szCs w:val="21"/>
        </w:rPr>
        <w:t>花果管理</w:t>
      </w:r>
    </w:p>
    <w:p w14:paraId="43F6795F">
      <w:pPr>
        <w:pStyle w:val="22"/>
        <w:spacing w:before="156" w:after="156" w:line="400" w:lineRule="exact"/>
      </w:pPr>
      <w:r>
        <w:rPr>
          <w:rFonts w:hint="eastAsia"/>
        </w:rPr>
        <w:t>预防霜冻</w:t>
      </w:r>
    </w:p>
    <w:p w14:paraId="652120BB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花前全园灌水，通过降低地温延迟萌芽和开花，避开霜冻；安装智能防霜机，实现自动点烟、点火，启动风扇；花期、幼果期夜间温度下降到0℃且持续下降时，采用全园熏烟、全树喷水等技术，减轻或预防霜冻危害。</w:t>
      </w:r>
    </w:p>
    <w:p w14:paraId="17D4B9F8">
      <w:pPr>
        <w:pStyle w:val="22"/>
        <w:spacing w:before="156" w:after="156" w:line="400" w:lineRule="exact"/>
      </w:pPr>
      <w:r>
        <w:rPr>
          <w:rFonts w:hint="eastAsia"/>
        </w:rPr>
        <w:t>提高座果率</w:t>
      </w:r>
    </w:p>
    <w:p w14:paraId="216E9528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通过提高树体营养水平、人工授粉、花期放蜂等方法提高座果率。</w:t>
      </w:r>
    </w:p>
    <w:p w14:paraId="1721F822">
      <w:pPr>
        <w:pStyle w:val="22"/>
        <w:spacing w:before="156" w:after="156" w:line="400" w:lineRule="exact"/>
      </w:pPr>
      <w:r>
        <w:rPr>
          <w:rFonts w:hint="eastAsia"/>
        </w:rPr>
        <w:t>疏果</w:t>
      </w:r>
    </w:p>
    <w:p w14:paraId="7B1B2838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花后30 d～40 d，确定当地晚霜冻害不再发生时进行疏果。根据大果、中果和小果型，按照10 cm～12 cm、7 cm～8 cm、3 cm～5 cm间距进行疏果，疏去病虫果、伤残果、畸形果、过密果。</w:t>
      </w:r>
    </w:p>
    <w:p w14:paraId="12EF6DF7">
      <w:pPr>
        <w:pStyle w:val="22"/>
        <w:spacing w:before="156" w:after="156" w:line="400" w:lineRule="exact"/>
      </w:pPr>
      <w:r>
        <w:rPr>
          <w:rFonts w:hint="eastAsia"/>
        </w:rPr>
        <w:t>预防裂果</w:t>
      </w:r>
    </w:p>
    <w:p w14:paraId="323A930A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选择抗裂果品种，果实硬核期开始通过水分管理保持土壤湿度相对稳定，果园搭建防雨棚。</w:t>
      </w:r>
    </w:p>
    <w:p w14:paraId="078FA9D4">
      <w:pPr>
        <w:pStyle w:val="22"/>
        <w:spacing w:before="156" w:after="156" w:line="400" w:lineRule="exact"/>
      </w:pPr>
      <w:r>
        <w:rPr>
          <w:rFonts w:hint="eastAsia"/>
        </w:rPr>
        <w:t>防鸟害</w:t>
      </w:r>
    </w:p>
    <w:p w14:paraId="18B9E381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rFonts w:ascii="Times New Roman"/>
          <w:szCs w:val="21"/>
        </w:rPr>
      </w:pPr>
      <w:r>
        <w:rPr>
          <w:rFonts w:hint="eastAsia"/>
          <w:szCs w:val="21"/>
        </w:rPr>
        <w:t>果园架设防鸟网。</w:t>
      </w:r>
    </w:p>
    <w:p w14:paraId="454D365E">
      <w:pPr>
        <w:pStyle w:val="21"/>
        <w:spacing w:before="312" w:after="312" w:line="400" w:lineRule="exact"/>
        <w:rPr>
          <w:szCs w:val="21"/>
        </w:rPr>
      </w:pPr>
      <w:r>
        <w:rPr>
          <w:rFonts w:hint="eastAsia"/>
          <w:szCs w:val="21"/>
        </w:rPr>
        <w:t>病虫害防治</w:t>
      </w:r>
    </w:p>
    <w:p w14:paraId="31616500">
      <w:pPr>
        <w:pStyle w:val="22"/>
        <w:spacing w:before="156" w:after="156" w:line="400" w:lineRule="exact"/>
      </w:pPr>
      <w:r>
        <w:rPr>
          <w:rFonts w:hint="eastAsia"/>
        </w:rPr>
        <w:t>主要病虫害</w:t>
      </w:r>
    </w:p>
    <w:p w14:paraId="4FAEB944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主要病害：流胶病、红点病、干腐病、细菌性穿孔病等；主要虫害：食心虫、李实蜂、介壳虫类、蚜虫、红蜘蛛、红颈天牛等。</w:t>
      </w:r>
    </w:p>
    <w:p w14:paraId="34343DAD">
      <w:pPr>
        <w:pStyle w:val="22"/>
        <w:spacing w:before="156" w:after="156" w:line="400" w:lineRule="exact"/>
      </w:pPr>
      <w:r>
        <w:rPr>
          <w:rFonts w:hint="eastAsia"/>
        </w:rPr>
        <w:t>防治原则</w:t>
      </w:r>
    </w:p>
    <w:p w14:paraId="1F70BE3B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贯彻“预防为主，综合防治”的植保方针，按照病虫害的发生规律和经济阈值，科学、综合、协调利用农业、物理、生物和化学防治等手段，有效防控病虫害发生。</w:t>
      </w:r>
    </w:p>
    <w:p w14:paraId="37FC247E">
      <w:pPr>
        <w:pStyle w:val="22"/>
        <w:spacing w:before="156" w:after="156" w:line="400" w:lineRule="exact"/>
      </w:pPr>
      <w:bookmarkStart w:id="2" w:name="OLE_LINK47"/>
      <w:bookmarkStart w:id="3" w:name="OLE_LINK46"/>
      <w:r>
        <w:rPr>
          <w:rFonts w:hint="eastAsia"/>
        </w:rPr>
        <w:t>防治措施</w:t>
      </w:r>
    </w:p>
    <w:p w14:paraId="6044E344">
      <w:pPr>
        <w:pStyle w:val="23"/>
        <w:spacing w:before="156" w:after="156" w:line="400" w:lineRule="exact"/>
        <w:rPr>
          <w:rFonts w:ascii="Times New Roman"/>
          <w:bCs/>
        </w:rPr>
      </w:pPr>
      <w:r>
        <w:rPr>
          <w:rFonts w:ascii="Times New Roman"/>
          <w:bCs/>
        </w:rPr>
        <w:t>农业防治</w:t>
      </w:r>
    </w:p>
    <w:p w14:paraId="54DEA9B7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增强树势，合理负载，提高抗病能力；采用高光效树形，合理修剪，保持果园通透性良好，减轻病害发生；果园周边不栽植与李子树有共同宿主的绿化树种；冬季修剪后对伤口及时保护，对病枝、病叶及田间杂草及时清理；从外地引进苗木、接穗和果品等，严格检疫，防止危险性病虫害传入。</w:t>
      </w:r>
    </w:p>
    <w:p w14:paraId="36E8D41A">
      <w:pPr>
        <w:pStyle w:val="23"/>
        <w:spacing w:before="156" w:after="156" w:line="400" w:lineRule="exact"/>
      </w:pPr>
      <w:r>
        <w:rPr>
          <w:rFonts w:hint="eastAsia"/>
        </w:rPr>
        <w:t>物理防治</w:t>
      </w:r>
    </w:p>
    <w:p w14:paraId="741ED95F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根据害虫活动习性，进行人工或机械捕杀；利用糖醋液、诱虫带、杀虫灯、黄蓝板等诱杀害虫；使用防虫网阻隔害虫进园为害。</w:t>
      </w:r>
    </w:p>
    <w:p w14:paraId="1CBE428B">
      <w:pPr>
        <w:pStyle w:val="23"/>
        <w:spacing w:before="156" w:after="156" w:line="400" w:lineRule="exact"/>
      </w:pPr>
      <w:r>
        <w:rPr>
          <w:rFonts w:hint="eastAsia"/>
        </w:rPr>
        <w:t>生物防治</w:t>
      </w:r>
    </w:p>
    <w:p w14:paraId="7F7CA51C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在果园周边建立生态屏障，隔离或减轻有害生物危害；人工释放赤眼蜂、瓢虫、草蛉、捕食螨等害虫天敌，并为害虫天敌提供良好的生活环境；利用性外激素诱杀或迷向素干扰鳞翅目等害虫成虫交配，降低害虫基数。</w:t>
      </w:r>
    </w:p>
    <w:p w14:paraId="404B622F">
      <w:pPr>
        <w:pStyle w:val="23"/>
        <w:spacing w:before="156" w:after="156" w:line="400" w:lineRule="exact"/>
      </w:pPr>
      <w:r>
        <w:rPr>
          <w:rFonts w:hint="eastAsia"/>
        </w:rPr>
        <w:t>化学防治</w:t>
      </w:r>
    </w:p>
    <w:p w14:paraId="3768EE08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根据李子绿色果品生产要求及病虫害发生规律进行化学防治。农药使用符合NY/T 393的规定。合理确定化学农药使用浓度，严禁采前安全间隔期使用化学农药，避免连续施用单一化学农药。主要病虫害农药防治推荐方案详见附录A。</w:t>
      </w:r>
    </w:p>
    <w:bookmarkEnd w:id="2"/>
    <w:bookmarkEnd w:id="3"/>
    <w:p w14:paraId="0C2811FC">
      <w:pPr>
        <w:pStyle w:val="21"/>
        <w:spacing w:before="312" w:after="312" w:line="400" w:lineRule="exact"/>
        <w:rPr>
          <w:szCs w:val="21"/>
        </w:rPr>
      </w:pPr>
      <w:r>
        <w:rPr>
          <w:rFonts w:hint="eastAsia"/>
          <w:szCs w:val="21"/>
        </w:rPr>
        <w:t>采收</w:t>
      </w:r>
    </w:p>
    <w:p w14:paraId="1F9845D2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根据用途适时采收，加工果实八成熟采收，鲜食果实九成熟采收。同一品种按照成熟度分批采收，人工采摘，轻摘轻放，避免果皮损伤，很好保留果粉。采收时避开阴雨天、晴热中午时段。果品质量符合NY/T 844的要求。</w:t>
      </w:r>
    </w:p>
    <w:p w14:paraId="01098239">
      <w:pPr>
        <w:pStyle w:val="21"/>
        <w:spacing w:before="312" w:after="312" w:line="400" w:lineRule="exact"/>
        <w:rPr>
          <w:szCs w:val="21"/>
        </w:rPr>
      </w:pPr>
      <w:r>
        <w:rPr>
          <w:rFonts w:hint="eastAsia"/>
          <w:szCs w:val="21"/>
        </w:rPr>
        <w:t>包装及储运</w:t>
      </w:r>
    </w:p>
    <w:p w14:paraId="1532D6E2">
      <w:pPr>
        <w:pStyle w:val="22"/>
        <w:spacing w:before="156" w:after="156" w:line="400" w:lineRule="exact"/>
      </w:pPr>
      <w:r>
        <w:rPr>
          <w:rFonts w:hint="eastAsia"/>
        </w:rPr>
        <w:t>分级包装</w:t>
      </w:r>
    </w:p>
    <w:p w14:paraId="7ACA281C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果实采收后，根据不同市场需求进行分级、包装。选择纸箱、泡沫箱及包装袋、包装纸，每箱装5 kg～10 kg。包装符合NY/T 658的规定。</w:t>
      </w:r>
    </w:p>
    <w:p w14:paraId="1D0EC60D">
      <w:pPr>
        <w:pStyle w:val="22"/>
        <w:spacing w:before="156" w:after="156" w:line="400" w:lineRule="exact"/>
      </w:pPr>
      <w:r>
        <w:rPr>
          <w:rFonts w:hint="eastAsia"/>
        </w:rPr>
        <w:t>储藏运输</w:t>
      </w:r>
    </w:p>
    <w:p w14:paraId="6F86717F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储藏运输符合NY/T 1056的规定。采收到入库不宜超过24 h，果实置于1 ℃～2 ℃冷藏，相对湿度85%～90%。</w:t>
      </w:r>
    </w:p>
    <w:p w14:paraId="135BCAF3">
      <w:pPr>
        <w:pStyle w:val="21"/>
        <w:spacing w:before="312" w:after="312" w:line="400" w:lineRule="exact"/>
        <w:rPr>
          <w:szCs w:val="21"/>
        </w:rPr>
      </w:pPr>
      <w:r>
        <w:rPr>
          <w:rFonts w:hint="eastAsia"/>
          <w:szCs w:val="21"/>
        </w:rPr>
        <w:t>生产废弃物处理</w:t>
      </w:r>
    </w:p>
    <w:p w14:paraId="093B7AB7">
      <w:pPr>
        <w:pStyle w:val="22"/>
        <w:spacing w:before="156" w:after="156" w:line="400" w:lineRule="exact"/>
      </w:pPr>
      <w:r>
        <w:rPr>
          <w:rFonts w:hint="eastAsia"/>
        </w:rPr>
        <w:t>枝条、落叶综合利用</w:t>
      </w:r>
    </w:p>
    <w:p w14:paraId="34DF50D1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清园时将落叶、杂草等集中粉碎还田，修剪枝条粉碎后可作为食用菌基料、堆肥或制造生物质颗粒燃料。</w:t>
      </w:r>
    </w:p>
    <w:p w14:paraId="0A2C5F3E">
      <w:pPr>
        <w:pStyle w:val="22"/>
        <w:spacing w:before="156" w:after="156" w:line="400" w:lineRule="exact"/>
      </w:pPr>
      <w:r>
        <w:rPr>
          <w:rFonts w:hint="eastAsia"/>
        </w:rPr>
        <w:t>地膜、农药及化肥包装处理</w:t>
      </w:r>
    </w:p>
    <w:p w14:paraId="053BA497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果园使用的地膜、生产中使用的农药肥料包装瓶（袋）等废弃物，按指定地点存放，并定期处理。建立农药瓶（袋）回收机制，统一销毁。</w:t>
      </w:r>
      <w:r>
        <w:rPr>
          <w:szCs w:val="21"/>
        </w:rPr>
        <w:br w:type="textWrapping"/>
      </w:r>
    </w:p>
    <w:p w14:paraId="01BBF132">
      <w:pPr>
        <w:pStyle w:val="21"/>
        <w:spacing w:before="312" w:after="312" w:line="400" w:lineRule="exact"/>
        <w:rPr>
          <w:szCs w:val="21"/>
        </w:rPr>
      </w:pPr>
      <w:r>
        <w:rPr>
          <w:rFonts w:hint="eastAsia"/>
          <w:szCs w:val="21"/>
        </w:rPr>
        <w:t>生产技术档案</w:t>
      </w:r>
    </w:p>
    <w:p w14:paraId="21386BB7">
      <w:pPr>
        <w:pStyle w:val="19"/>
        <w:tabs>
          <w:tab w:val="center" w:pos="4201"/>
          <w:tab w:val="right" w:leader="dot" w:pos="9298"/>
        </w:tabs>
        <w:spacing w:line="400" w:lineRule="exact"/>
        <w:ind w:firstLine="420"/>
        <w:rPr>
          <w:szCs w:val="21"/>
        </w:rPr>
      </w:pPr>
      <w:r>
        <w:rPr>
          <w:rFonts w:hint="eastAsia"/>
          <w:szCs w:val="21"/>
        </w:rPr>
        <w:t>每个生产基地应建立独立、完整的生产管理档案，记录种子、种苗、农药、肥料等生产资料来源信息，以及生产过程中</w:t>
      </w:r>
      <w:r>
        <w:rPr>
          <w:szCs w:val="21"/>
        </w:rPr>
        <w:t>病虫害防控、采收、田间管理操作措施、产品质量检测及其他相关质量追溯等记录；所有记录应真实、准确、规范，并具有可追溯性；生产档案应有专人专柜保管，至少保存3</w:t>
      </w:r>
      <w:r>
        <w:rPr>
          <w:rFonts w:hint="eastAsia"/>
          <w:szCs w:val="21"/>
        </w:rPr>
        <w:t>年。</w:t>
      </w:r>
    </w:p>
    <w:p w14:paraId="2418D74F">
      <w:pPr>
        <w:rPr>
          <w:rFonts w:ascii="黑体" w:hAnsi="Times New Roman" w:eastAsia="黑体" w:cs="Times New Roman"/>
          <w:kern w:val="0"/>
          <w:szCs w:val="21"/>
        </w:rPr>
      </w:pPr>
      <w:r>
        <w:rPr>
          <w:rFonts w:ascii="黑体" w:hAnsi="Times New Roman" w:eastAsia="黑体" w:cs="Times New Roman"/>
          <w:kern w:val="0"/>
          <w:szCs w:val="21"/>
        </w:rPr>
        <w:br w:type="page"/>
      </w:r>
    </w:p>
    <w:p w14:paraId="761C29C8">
      <w:pPr>
        <w:spacing w:line="400" w:lineRule="atLeast"/>
        <w:ind w:firstLine="420" w:firstLineChars="200"/>
        <w:contextualSpacing/>
        <w:jc w:val="center"/>
        <w:rPr>
          <w:rFonts w:ascii="黑体" w:hAnsi="Times New Roman" w:eastAsia="黑体" w:cs="Times New Roman"/>
          <w:kern w:val="0"/>
          <w:szCs w:val="21"/>
        </w:rPr>
      </w:pPr>
      <w:r>
        <w:rPr>
          <w:rFonts w:hint="eastAsia" w:ascii="黑体" w:hAnsi="Times New Roman" w:eastAsia="黑体" w:cs="Times New Roman"/>
          <w:kern w:val="0"/>
          <w:szCs w:val="21"/>
        </w:rPr>
        <w:t>附录A</w:t>
      </w:r>
    </w:p>
    <w:p w14:paraId="46ED6136">
      <w:pPr>
        <w:spacing w:line="400" w:lineRule="atLeast"/>
        <w:ind w:firstLine="420" w:firstLineChars="200"/>
        <w:contextualSpacing/>
        <w:jc w:val="center"/>
        <w:rPr>
          <w:rFonts w:ascii="黑体" w:hAnsi="Times New Roman" w:eastAsia="黑体" w:cs="Times New Roman"/>
          <w:kern w:val="0"/>
          <w:szCs w:val="21"/>
        </w:rPr>
      </w:pPr>
      <w:r>
        <w:rPr>
          <w:rFonts w:hint="eastAsia" w:ascii="黑体" w:hAnsi="Times New Roman" w:eastAsia="黑体" w:cs="Times New Roman"/>
          <w:kern w:val="0"/>
          <w:szCs w:val="21"/>
        </w:rPr>
        <w:t>（资料性附录）</w:t>
      </w:r>
    </w:p>
    <w:p w14:paraId="7697B7B4">
      <w:pPr>
        <w:spacing w:line="400" w:lineRule="atLeast"/>
        <w:ind w:firstLine="420" w:firstLineChars="200"/>
        <w:contextualSpacing/>
        <w:jc w:val="center"/>
        <w:rPr>
          <w:rFonts w:ascii="黑体" w:hAnsi="Times New Roman" w:eastAsia="黑体" w:cs="Times New Roman"/>
          <w:kern w:val="0"/>
          <w:szCs w:val="21"/>
        </w:rPr>
      </w:pPr>
      <w:r>
        <w:rPr>
          <w:rFonts w:hint="eastAsia" w:ascii="黑体" w:hAnsi="Times New Roman" w:eastAsia="黑体" w:cs="Times New Roman"/>
          <w:kern w:val="0"/>
          <w:szCs w:val="21"/>
        </w:rPr>
        <w:t>西北地区 绿色食品李子生产主要病虫害防治推荐农药</w:t>
      </w:r>
      <w:r>
        <w:rPr>
          <w:rFonts w:ascii="黑体" w:hAnsi="Times New Roman" w:eastAsia="黑体" w:cs="Times New Roman"/>
          <w:kern w:val="0"/>
          <w:szCs w:val="21"/>
        </w:rPr>
        <w:t>使用</w:t>
      </w:r>
      <w:r>
        <w:rPr>
          <w:rFonts w:hint="eastAsia" w:ascii="黑体" w:hAnsi="Times New Roman" w:eastAsia="黑体" w:cs="Times New Roman"/>
          <w:kern w:val="0"/>
          <w:szCs w:val="21"/>
        </w:rPr>
        <w:t>方案</w:t>
      </w:r>
    </w:p>
    <w:p w14:paraId="72342127">
      <w:pPr>
        <w:spacing w:line="400" w:lineRule="atLeast"/>
        <w:ind w:firstLine="420" w:firstLineChars="200"/>
        <w:contextualSpacing/>
        <w:jc w:val="center"/>
        <w:rPr>
          <w:rFonts w:ascii="黑体" w:hAnsi="Times New Roman" w:eastAsia="黑体" w:cs="Times New Roman"/>
          <w:kern w:val="0"/>
          <w:szCs w:val="21"/>
        </w:rPr>
      </w:pPr>
    </w:p>
    <w:p w14:paraId="3AE657ED">
      <w:pPr>
        <w:spacing w:line="400" w:lineRule="atLeast"/>
        <w:ind w:firstLine="420" w:firstLineChars="200"/>
        <w:contextualSpacing/>
        <w:jc w:val="left"/>
        <w:rPr>
          <w:rFonts w:cs="Times New Roman" w:asciiTheme="minorEastAsia" w:hAnsiTheme="minorEastAsia"/>
          <w:kern w:val="0"/>
          <w:szCs w:val="21"/>
        </w:rPr>
      </w:pPr>
      <w:r>
        <w:rPr>
          <w:rFonts w:hint="eastAsia" w:cs="Times New Roman" w:asciiTheme="minorEastAsia" w:hAnsiTheme="minorEastAsia"/>
          <w:kern w:val="0"/>
          <w:szCs w:val="21"/>
        </w:rPr>
        <w:t>西北地区</w:t>
      </w:r>
      <w:r>
        <w:rPr>
          <w:rFonts w:cs="Times New Roman" w:asciiTheme="minorEastAsia" w:hAnsiTheme="minorEastAsia"/>
          <w:kern w:val="0"/>
          <w:szCs w:val="21"/>
        </w:rPr>
        <w:t xml:space="preserve"> </w:t>
      </w:r>
      <w:r>
        <w:rPr>
          <w:rFonts w:hint="eastAsia" w:cs="Times New Roman" w:asciiTheme="minorEastAsia" w:hAnsiTheme="minorEastAsia"/>
          <w:kern w:val="0"/>
          <w:szCs w:val="21"/>
        </w:rPr>
        <w:t>绿色食品李子生产主要病虫害防治推荐农药使用方案见表A.1。</w:t>
      </w:r>
    </w:p>
    <w:p w14:paraId="68BAFF78">
      <w:pPr>
        <w:spacing w:line="400" w:lineRule="atLeast"/>
        <w:ind w:firstLine="420" w:firstLineChars="200"/>
        <w:contextualSpacing/>
        <w:jc w:val="center"/>
        <w:rPr>
          <w:rFonts w:ascii="黑体" w:hAnsi="Times New Roman" w:eastAsia="黑体" w:cs="Times New Roman"/>
          <w:kern w:val="0"/>
          <w:szCs w:val="21"/>
        </w:rPr>
      </w:pPr>
      <w:r>
        <w:rPr>
          <w:rFonts w:ascii="黑体" w:hAnsi="Times New Roman" w:eastAsia="黑体" w:cs="Times New Roman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2357120</wp:posOffset>
                </wp:positionV>
                <wp:extent cx="2125980" cy="0"/>
                <wp:effectExtent l="0" t="0" r="26670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259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4pt;margin-top:185.6pt;height:0pt;width:167.4pt;z-index:251661312;mso-width-relative:page;mso-height-relative:page;" filled="f" stroked="t" coordsize="21600,21600" o:gfxdata="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R/LR51wAAAAsBAAAPAAAAAAAAAAEA&#10;IAAAACIAAABkcnMvZG93bnJldi54bWxQSwECFAAUAAAACACHTuJAu1KCSNcBAACaAwAADgAAAAAA&#10;AAABACAAAAAmAQAAZHJzL2Uyb0RvYy54bWxQSwUGAAAAAAYABgBZAQAAbwUAAAAA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Times New Roman" w:eastAsia="黑体" w:cs="Times New Roman"/>
          <w:kern w:val="0"/>
          <w:szCs w:val="21"/>
        </w:rPr>
        <w:t>表A.1 西北地区 绿色食品李子生产主要病虫害防治推荐农药</w:t>
      </w:r>
      <w:r>
        <w:rPr>
          <w:rFonts w:ascii="黑体" w:hAnsi="Times New Roman" w:eastAsia="黑体" w:cs="Times New Roman"/>
          <w:kern w:val="0"/>
          <w:szCs w:val="21"/>
        </w:rPr>
        <w:t>使用</w:t>
      </w:r>
      <w:r>
        <w:rPr>
          <w:rFonts w:hint="eastAsia" w:ascii="黑体" w:hAnsi="Times New Roman" w:eastAsia="黑体" w:cs="Times New Roman"/>
          <w:kern w:val="0"/>
          <w:szCs w:val="21"/>
        </w:rPr>
        <w:t>方案</w:t>
      </w:r>
    </w:p>
    <w:tbl>
      <w:tblPr>
        <w:tblStyle w:val="7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934"/>
        <w:gridCol w:w="2503"/>
        <w:gridCol w:w="1226"/>
        <w:gridCol w:w="1087"/>
        <w:gridCol w:w="1130"/>
      </w:tblGrid>
      <w:tr w14:paraId="44E16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115" w:type="dxa"/>
            <w:vAlign w:val="center"/>
          </w:tcPr>
          <w:p w14:paraId="2E2C4A7D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/>
                <w:b/>
                <w:bCs/>
                <w:kern w:val="0"/>
                <w:szCs w:val="21"/>
              </w:rPr>
              <w:t>防治对象</w:t>
            </w:r>
          </w:p>
        </w:tc>
        <w:tc>
          <w:tcPr>
            <w:tcW w:w="1934" w:type="dxa"/>
            <w:vAlign w:val="center"/>
          </w:tcPr>
          <w:p w14:paraId="1DA39C4C">
            <w:pPr>
              <w:widowControl/>
              <w:adjustRightInd w:val="0"/>
              <w:snapToGrid w:val="0"/>
              <w:ind w:firstLine="139" w:firstLineChars="66"/>
              <w:jc w:val="center"/>
              <w:rPr>
                <w:rFonts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/>
                <w:b/>
                <w:bCs/>
                <w:kern w:val="0"/>
                <w:szCs w:val="21"/>
              </w:rPr>
              <w:t>防治时期</w:t>
            </w:r>
          </w:p>
        </w:tc>
        <w:tc>
          <w:tcPr>
            <w:tcW w:w="2503" w:type="dxa"/>
            <w:vAlign w:val="center"/>
          </w:tcPr>
          <w:p w14:paraId="04CE94D5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/>
                <w:b/>
                <w:bCs/>
                <w:kern w:val="0"/>
                <w:szCs w:val="21"/>
              </w:rPr>
              <w:t>农药</w:t>
            </w:r>
            <w:r>
              <w:rPr>
                <w:rFonts w:hint="eastAsia" w:asciiTheme="minorEastAsia" w:hAnsiTheme="minorEastAsia"/>
                <w:b/>
                <w:bCs/>
                <w:kern w:val="0"/>
                <w:szCs w:val="21"/>
              </w:rPr>
              <w:t>名称</w:t>
            </w:r>
          </w:p>
        </w:tc>
        <w:tc>
          <w:tcPr>
            <w:tcW w:w="1226" w:type="dxa"/>
            <w:vAlign w:val="center"/>
          </w:tcPr>
          <w:p w14:paraId="28F2A187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/>
                <w:b/>
                <w:bCs/>
                <w:kern w:val="0"/>
                <w:szCs w:val="21"/>
              </w:rPr>
              <w:t>使用量</w:t>
            </w:r>
          </w:p>
        </w:tc>
        <w:tc>
          <w:tcPr>
            <w:tcW w:w="1087" w:type="dxa"/>
            <w:vAlign w:val="center"/>
          </w:tcPr>
          <w:p w14:paraId="01284F1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kern w:val="0"/>
                <w:szCs w:val="21"/>
              </w:rPr>
              <w:t>使用</w:t>
            </w:r>
            <w:r>
              <w:rPr>
                <w:rFonts w:asciiTheme="minorEastAsia" w:hAnsiTheme="minorEastAsia"/>
                <w:b/>
                <w:bCs/>
                <w:kern w:val="0"/>
                <w:szCs w:val="21"/>
              </w:rPr>
              <w:t>方法</w:t>
            </w:r>
          </w:p>
        </w:tc>
        <w:tc>
          <w:tcPr>
            <w:tcW w:w="1130" w:type="dxa"/>
            <w:vAlign w:val="center"/>
          </w:tcPr>
          <w:p w14:paraId="356AE2E8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/>
                <w:b/>
                <w:bCs/>
                <w:kern w:val="0"/>
                <w:szCs w:val="21"/>
              </w:rPr>
              <w:t>安全间隔</w:t>
            </w:r>
            <w:r>
              <w:rPr>
                <w:rFonts w:hint="eastAsia" w:asciiTheme="minorEastAsia" w:hAnsiTheme="minorEastAsia"/>
                <w:b/>
                <w:bCs/>
                <w:kern w:val="0"/>
                <w:szCs w:val="21"/>
              </w:rPr>
              <w:t>期（天）</w:t>
            </w:r>
          </w:p>
        </w:tc>
      </w:tr>
      <w:tr w14:paraId="0641B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115" w:type="dxa"/>
            <w:vAlign w:val="center"/>
          </w:tcPr>
          <w:p w14:paraId="1FFF591F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kern w:val="0"/>
                <w:szCs w:val="21"/>
              </w:rPr>
              <w:t>食心虫</w:t>
            </w:r>
          </w:p>
        </w:tc>
        <w:tc>
          <w:tcPr>
            <w:tcW w:w="1934" w:type="dxa"/>
            <w:vAlign w:val="center"/>
          </w:tcPr>
          <w:p w14:paraId="4C5C117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kern w:val="0"/>
                <w:szCs w:val="21"/>
              </w:rPr>
              <w:t>结果期、成虫产卵至卵孵化盛期</w:t>
            </w:r>
          </w:p>
        </w:tc>
        <w:tc>
          <w:tcPr>
            <w:tcW w:w="2503" w:type="dxa"/>
            <w:vAlign w:val="center"/>
          </w:tcPr>
          <w:p w14:paraId="19DF0694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kern w:val="0"/>
                <w:szCs w:val="21"/>
              </w:rPr>
              <w:t>3%甲氨基阿维菌素苯甲酸盐微乳剂</w:t>
            </w:r>
          </w:p>
        </w:tc>
        <w:tc>
          <w:tcPr>
            <w:tcW w:w="1226" w:type="dxa"/>
            <w:vAlign w:val="center"/>
          </w:tcPr>
          <w:p w14:paraId="40C35CF9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kern w:val="0"/>
                <w:szCs w:val="21"/>
              </w:rPr>
              <w:t>3000～4500倍液</w:t>
            </w:r>
          </w:p>
        </w:tc>
        <w:tc>
          <w:tcPr>
            <w:tcW w:w="1087" w:type="dxa"/>
            <w:vAlign w:val="center"/>
          </w:tcPr>
          <w:p w14:paraId="53CB8426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kern w:val="0"/>
                <w:szCs w:val="21"/>
              </w:rPr>
              <w:t>喷雾</w:t>
            </w:r>
          </w:p>
        </w:tc>
        <w:tc>
          <w:tcPr>
            <w:tcW w:w="1130" w:type="dxa"/>
            <w:vAlign w:val="center"/>
          </w:tcPr>
          <w:p w14:paraId="094B7B3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kern w:val="0"/>
                <w:szCs w:val="21"/>
              </w:rPr>
              <w:t>5</w:t>
            </w:r>
          </w:p>
        </w:tc>
      </w:tr>
      <w:tr w14:paraId="4C1BD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115" w:type="dxa"/>
            <w:vAlign w:val="center"/>
          </w:tcPr>
          <w:p w14:paraId="665A69B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kern w:val="0"/>
                <w:szCs w:val="21"/>
              </w:rPr>
              <w:t>炭疽病</w:t>
            </w:r>
          </w:p>
        </w:tc>
        <w:tc>
          <w:tcPr>
            <w:tcW w:w="1934" w:type="dxa"/>
            <w:vAlign w:val="center"/>
          </w:tcPr>
          <w:p w14:paraId="72058F78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kern w:val="0"/>
                <w:szCs w:val="21"/>
              </w:rPr>
              <w:t>发病前或发病初期</w:t>
            </w:r>
          </w:p>
        </w:tc>
        <w:tc>
          <w:tcPr>
            <w:tcW w:w="2503" w:type="dxa"/>
            <w:vAlign w:val="center"/>
          </w:tcPr>
          <w:p w14:paraId="28FB871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kern w:val="0"/>
                <w:szCs w:val="21"/>
              </w:rPr>
              <w:t>40%苯甲.吡唑酯悬浮剂</w:t>
            </w:r>
          </w:p>
        </w:tc>
        <w:tc>
          <w:tcPr>
            <w:tcW w:w="1226" w:type="dxa"/>
            <w:vAlign w:val="center"/>
          </w:tcPr>
          <w:p w14:paraId="7137B19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kern w:val="0"/>
                <w:szCs w:val="21"/>
              </w:rPr>
              <w:t>2000～3000倍液</w:t>
            </w:r>
          </w:p>
        </w:tc>
        <w:tc>
          <w:tcPr>
            <w:tcW w:w="1087" w:type="dxa"/>
            <w:vAlign w:val="center"/>
          </w:tcPr>
          <w:p w14:paraId="53442A16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kern w:val="0"/>
                <w:szCs w:val="21"/>
              </w:rPr>
              <w:t>喷雾</w:t>
            </w:r>
          </w:p>
        </w:tc>
        <w:tc>
          <w:tcPr>
            <w:tcW w:w="1130" w:type="dxa"/>
            <w:vAlign w:val="center"/>
          </w:tcPr>
          <w:p w14:paraId="772D3EFE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kern w:val="0"/>
                <w:szCs w:val="21"/>
              </w:rPr>
              <w:t>21</w:t>
            </w:r>
          </w:p>
        </w:tc>
      </w:tr>
      <w:tr w14:paraId="3C399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8995" w:type="dxa"/>
            <w:gridSpan w:val="6"/>
            <w:vAlign w:val="center"/>
          </w:tcPr>
          <w:p w14:paraId="7545B63E">
            <w:pPr>
              <w:widowControl/>
              <w:adjustRightInd w:val="0"/>
              <w:snapToGrid w:val="0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kern w:val="0"/>
                <w:szCs w:val="21"/>
              </w:rPr>
              <w:t>注：农药使用应以最新版本NY/T393的规定为准。</w:t>
            </w:r>
          </w:p>
        </w:tc>
      </w:tr>
    </w:tbl>
    <w:p w14:paraId="25F0E3C2">
      <w:pPr>
        <w:rPr>
          <w:sz w:val="18"/>
          <w:szCs w:val="18"/>
        </w:rPr>
      </w:pPr>
    </w:p>
    <w:p w14:paraId="2BADFF41">
      <w:pPr>
        <w:ind w:firstLine="420" w:firstLineChars="200"/>
        <w:contextualSpacing/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C32268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069B9C2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vk47wyAgAAY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jB5loWN&#10;frA8Qkd5vF3uA+RMKkdReiXQnXjA7KU+nfckDvef5xT1+N+w+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+Tjv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069B9C2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E66EF1">
    <w:pPr>
      <w:pStyle w:val="6"/>
      <w:pBdr>
        <w:bottom w:val="none" w:color="auto" w:sz="0" w:space="0"/>
      </w:pBdr>
    </w:pPr>
    <w:r>
      <w:pict>
        <v:shape id="WordPictureWatermark24295519" o:spid="_x0000_s2051" o:spt="75" type="#_x0000_t75" style="position:absolute;left:0pt;height:387pt;width:415.25pt;mso-position-horizontal:center;mso-position-horizontal-relative:margin;mso-position-vertical:center;mso-position-vertical-relative:margin;z-index:-25165414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绿标png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F9786A">
    <w:pPr>
      <w:pStyle w:val="6"/>
    </w:pPr>
    <w:r>
      <w:pict>
        <v:shape id="WordPictureWatermark24295518" o:spid="_x0000_s2050" o:spt="75" type="#_x0000_t75" style="position:absolute;left:0pt;height:387pt;width:415.2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绿标png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520285">
    <w:pPr>
      <w:pStyle w:val="6"/>
    </w:pPr>
    <w:r>
      <w:pict>
        <v:shape id="WordPictureWatermark24295517" o:spid="_x0000_s2049" o:spt="75" type="#_x0000_t75" style="position:absolute;left:0pt;height:387pt;width:415.2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绿标png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21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22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23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suff w:val="nothing"/>
      <w:lvlText w:val="%1%2　"/>
      <w:lvlJc w:val="left"/>
      <w:pPr>
        <w:ind w:left="1701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 w:tentative="0">
      <w:start w:val="1"/>
      <w:numFmt w:val="decimal"/>
      <w:pStyle w:val="24"/>
      <w:suff w:val="nothing"/>
      <w:lvlText w:val="%1%2.%3.%4　"/>
      <w:lvlJc w:val="left"/>
      <w:pPr>
        <w:ind w:left="2409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hNzBlYWMyZWNlMTE3MWZkM2RkOWMzMTcxNGI1OWYifQ=="/>
  </w:docVars>
  <w:rsids>
    <w:rsidRoot w:val="00367D81"/>
    <w:rsid w:val="00003DDC"/>
    <w:rsid w:val="000064CD"/>
    <w:rsid w:val="000067A2"/>
    <w:rsid w:val="000078BA"/>
    <w:rsid w:val="00010D47"/>
    <w:rsid w:val="00011047"/>
    <w:rsid w:val="000123DC"/>
    <w:rsid w:val="00016EF2"/>
    <w:rsid w:val="000242F1"/>
    <w:rsid w:val="00027C1A"/>
    <w:rsid w:val="00032981"/>
    <w:rsid w:val="000366C0"/>
    <w:rsid w:val="00041193"/>
    <w:rsid w:val="000436A0"/>
    <w:rsid w:val="00047F36"/>
    <w:rsid w:val="00052D53"/>
    <w:rsid w:val="00052D68"/>
    <w:rsid w:val="00054C77"/>
    <w:rsid w:val="00065FF5"/>
    <w:rsid w:val="00067BB3"/>
    <w:rsid w:val="00074FF8"/>
    <w:rsid w:val="000800AB"/>
    <w:rsid w:val="00086563"/>
    <w:rsid w:val="00091A58"/>
    <w:rsid w:val="000945C0"/>
    <w:rsid w:val="000A31D8"/>
    <w:rsid w:val="000A3209"/>
    <w:rsid w:val="000A37EC"/>
    <w:rsid w:val="000B7837"/>
    <w:rsid w:val="000B79A6"/>
    <w:rsid w:val="000C1431"/>
    <w:rsid w:val="000D6298"/>
    <w:rsid w:val="000D718D"/>
    <w:rsid w:val="000F2433"/>
    <w:rsid w:val="001000D3"/>
    <w:rsid w:val="00101686"/>
    <w:rsid w:val="00102BAF"/>
    <w:rsid w:val="001031F2"/>
    <w:rsid w:val="001058D4"/>
    <w:rsid w:val="00113FFE"/>
    <w:rsid w:val="001214BA"/>
    <w:rsid w:val="00122138"/>
    <w:rsid w:val="00122435"/>
    <w:rsid w:val="00131E86"/>
    <w:rsid w:val="00134098"/>
    <w:rsid w:val="00136E7F"/>
    <w:rsid w:val="0014157B"/>
    <w:rsid w:val="001520EA"/>
    <w:rsid w:val="00155F56"/>
    <w:rsid w:val="00164365"/>
    <w:rsid w:val="001653D2"/>
    <w:rsid w:val="00166DC5"/>
    <w:rsid w:val="00173CA5"/>
    <w:rsid w:val="00180EB4"/>
    <w:rsid w:val="00191C91"/>
    <w:rsid w:val="00196F6A"/>
    <w:rsid w:val="001A7A59"/>
    <w:rsid w:val="001B4BC7"/>
    <w:rsid w:val="001C72A7"/>
    <w:rsid w:val="001C7D6C"/>
    <w:rsid w:val="001D1D92"/>
    <w:rsid w:val="001D33B6"/>
    <w:rsid w:val="001D426D"/>
    <w:rsid w:val="001E1AE2"/>
    <w:rsid w:val="001E5770"/>
    <w:rsid w:val="001F2330"/>
    <w:rsid w:val="001F7F06"/>
    <w:rsid w:val="002122A5"/>
    <w:rsid w:val="002204D2"/>
    <w:rsid w:val="00230059"/>
    <w:rsid w:val="00232964"/>
    <w:rsid w:val="002346CE"/>
    <w:rsid w:val="00245AF5"/>
    <w:rsid w:val="00246596"/>
    <w:rsid w:val="00256B35"/>
    <w:rsid w:val="00273CF5"/>
    <w:rsid w:val="00274A16"/>
    <w:rsid w:val="00275A24"/>
    <w:rsid w:val="00285292"/>
    <w:rsid w:val="002A6F99"/>
    <w:rsid w:val="002B199F"/>
    <w:rsid w:val="002B22E1"/>
    <w:rsid w:val="002B5AF7"/>
    <w:rsid w:val="002B62D0"/>
    <w:rsid w:val="002D4224"/>
    <w:rsid w:val="002E201E"/>
    <w:rsid w:val="002F72D1"/>
    <w:rsid w:val="00306AD9"/>
    <w:rsid w:val="00326D2B"/>
    <w:rsid w:val="003415A1"/>
    <w:rsid w:val="00343081"/>
    <w:rsid w:val="00350D48"/>
    <w:rsid w:val="003568E3"/>
    <w:rsid w:val="0036472C"/>
    <w:rsid w:val="00367D81"/>
    <w:rsid w:val="0037666F"/>
    <w:rsid w:val="0038067B"/>
    <w:rsid w:val="00380E97"/>
    <w:rsid w:val="003A322B"/>
    <w:rsid w:val="003A3FE8"/>
    <w:rsid w:val="003B5258"/>
    <w:rsid w:val="003D490E"/>
    <w:rsid w:val="003E4D5F"/>
    <w:rsid w:val="003E6EC0"/>
    <w:rsid w:val="003F097B"/>
    <w:rsid w:val="003F5A29"/>
    <w:rsid w:val="003F658C"/>
    <w:rsid w:val="00404ADF"/>
    <w:rsid w:val="00412642"/>
    <w:rsid w:val="00417A29"/>
    <w:rsid w:val="004228D4"/>
    <w:rsid w:val="00427E5A"/>
    <w:rsid w:val="00431E79"/>
    <w:rsid w:val="00432245"/>
    <w:rsid w:val="00435F2B"/>
    <w:rsid w:val="00441622"/>
    <w:rsid w:val="00454821"/>
    <w:rsid w:val="00455D2C"/>
    <w:rsid w:val="004565C7"/>
    <w:rsid w:val="00457C33"/>
    <w:rsid w:val="00457CF8"/>
    <w:rsid w:val="004657C8"/>
    <w:rsid w:val="00465852"/>
    <w:rsid w:val="00467786"/>
    <w:rsid w:val="004841E0"/>
    <w:rsid w:val="004938E5"/>
    <w:rsid w:val="00497A20"/>
    <w:rsid w:val="004A057E"/>
    <w:rsid w:val="004A3CDB"/>
    <w:rsid w:val="004B35FC"/>
    <w:rsid w:val="004E6B0C"/>
    <w:rsid w:val="004E775E"/>
    <w:rsid w:val="004F1F2F"/>
    <w:rsid w:val="004F4C7E"/>
    <w:rsid w:val="004F559B"/>
    <w:rsid w:val="00511554"/>
    <w:rsid w:val="005132CE"/>
    <w:rsid w:val="005139C0"/>
    <w:rsid w:val="0051610C"/>
    <w:rsid w:val="005228C7"/>
    <w:rsid w:val="005308F9"/>
    <w:rsid w:val="0053618C"/>
    <w:rsid w:val="0054418F"/>
    <w:rsid w:val="005536C0"/>
    <w:rsid w:val="0056214E"/>
    <w:rsid w:val="0056429F"/>
    <w:rsid w:val="00567796"/>
    <w:rsid w:val="00572BAF"/>
    <w:rsid w:val="0057375F"/>
    <w:rsid w:val="005829FD"/>
    <w:rsid w:val="005901C0"/>
    <w:rsid w:val="00590CBA"/>
    <w:rsid w:val="00594099"/>
    <w:rsid w:val="00596CA0"/>
    <w:rsid w:val="005974F1"/>
    <w:rsid w:val="00597EF3"/>
    <w:rsid w:val="005C46BA"/>
    <w:rsid w:val="005E3C8C"/>
    <w:rsid w:val="005E5278"/>
    <w:rsid w:val="005F0760"/>
    <w:rsid w:val="005F4A93"/>
    <w:rsid w:val="00604633"/>
    <w:rsid w:val="0061200B"/>
    <w:rsid w:val="00612DC8"/>
    <w:rsid w:val="00615256"/>
    <w:rsid w:val="006158DB"/>
    <w:rsid w:val="0061624C"/>
    <w:rsid w:val="006174E1"/>
    <w:rsid w:val="00621A73"/>
    <w:rsid w:val="0062721A"/>
    <w:rsid w:val="00630E82"/>
    <w:rsid w:val="00631D20"/>
    <w:rsid w:val="006325EF"/>
    <w:rsid w:val="006345B2"/>
    <w:rsid w:val="006355F3"/>
    <w:rsid w:val="006435A3"/>
    <w:rsid w:val="006461F9"/>
    <w:rsid w:val="00646823"/>
    <w:rsid w:val="006504A2"/>
    <w:rsid w:val="00651C91"/>
    <w:rsid w:val="00662C3A"/>
    <w:rsid w:val="006719CC"/>
    <w:rsid w:val="00676EF6"/>
    <w:rsid w:val="00681334"/>
    <w:rsid w:val="00681E34"/>
    <w:rsid w:val="00681F54"/>
    <w:rsid w:val="00683B70"/>
    <w:rsid w:val="00683C29"/>
    <w:rsid w:val="006866E4"/>
    <w:rsid w:val="006869AD"/>
    <w:rsid w:val="00686CA3"/>
    <w:rsid w:val="00692684"/>
    <w:rsid w:val="006954D0"/>
    <w:rsid w:val="006978E7"/>
    <w:rsid w:val="006A2525"/>
    <w:rsid w:val="006A3837"/>
    <w:rsid w:val="006A63B2"/>
    <w:rsid w:val="006A7206"/>
    <w:rsid w:val="006B17F4"/>
    <w:rsid w:val="006B1F74"/>
    <w:rsid w:val="006B3912"/>
    <w:rsid w:val="006B4032"/>
    <w:rsid w:val="006C1067"/>
    <w:rsid w:val="006C2BEB"/>
    <w:rsid w:val="006D093D"/>
    <w:rsid w:val="006D1010"/>
    <w:rsid w:val="006D35E2"/>
    <w:rsid w:val="006D66C0"/>
    <w:rsid w:val="006E05BE"/>
    <w:rsid w:val="006E453F"/>
    <w:rsid w:val="006E7C85"/>
    <w:rsid w:val="00700193"/>
    <w:rsid w:val="00700FC0"/>
    <w:rsid w:val="00706002"/>
    <w:rsid w:val="007200F0"/>
    <w:rsid w:val="0072090C"/>
    <w:rsid w:val="00724B8E"/>
    <w:rsid w:val="00725696"/>
    <w:rsid w:val="00731484"/>
    <w:rsid w:val="00732332"/>
    <w:rsid w:val="00737564"/>
    <w:rsid w:val="00752654"/>
    <w:rsid w:val="00756D94"/>
    <w:rsid w:val="007633E9"/>
    <w:rsid w:val="0076733E"/>
    <w:rsid w:val="00781042"/>
    <w:rsid w:val="007810E7"/>
    <w:rsid w:val="00785411"/>
    <w:rsid w:val="007854D7"/>
    <w:rsid w:val="0079482C"/>
    <w:rsid w:val="0079592B"/>
    <w:rsid w:val="00796CE4"/>
    <w:rsid w:val="007A0DE2"/>
    <w:rsid w:val="007A73F2"/>
    <w:rsid w:val="007B1C25"/>
    <w:rsid w:val="007B1D9F"/>
    <w:rsid w:val="007D287E"/>
    <w:rsid w:val="007F036C"/>
    <w:rsid w:val="007F1CFD"/>
    <w:rsid w:val="007F3B7A"/>
    <w:rsid w:val="0080488B"/>
    <w:rsid w:val="00810233"/>
    <w:rsid w:val="008110D4"/>
    <w:rsid w:val="00814BD6"/>
    <w:rsid w:val="0082101D"/>
    <w:rsid w:val="00821B7A"/>
    <w:rsid w:val="0082296A"/>
    <w:rsid w:val="008236FD"/>
    <w:rsid w:val="00832806"/>
    <w:rsid w:val="008342EF"/>
    <w:rsid w:val="00835584"/>
    <w:rsid w:val="0084288F"/>
    <w:rsid w:val="00842FF9"/>
    <w:rsid w:val="00847ECE"/>
    <w:rsid w:val="00853F3A"/>
    <w:rsid w:val="00860E4E"/>
    <w:rsid w:val="00862B01"/>
    <w:rsid w:val="008646C4"/>
    <w:rsid w:val="00866408"/>
    <w:rsid w:val="0087766A"/>
    <w:rsid w:val="008854AF"/>
    <w:rsid w:val="00885762"/>
    <w:rsid w:val="008958B0"/>
    <w:rsid w:val="00897492"/>
    <w:rsid w:val="008A13D0"/>
    <w:rsid w:val="008A29FB"/>
    <w:rsid w:val="008A2C48"/>
    <w:rsid w:val="008A49D2"/>
    <w:rsid w:val="008A668F"/>
    <w:rsid w:val="008A6CEE"/>
    <w:rsid w:val="008B21C1"/>
    <w:rsid w:val="008C39FC"/>
    <w:rsid w:val="008C75FE"/>
    <w:rsid w:val="008D2246"/>
    <w:rsid w:val="008D4146"/>
    <w:rsid w:val="008D461B"/>
    <w:rsid w:val="008D4E75"/>
    <w:rsid w:val="008E4566"/>
    <w:rsid w:val="008E49BC"/>
    <w:rsid w:val="008F36CF"/>
    <w:rsid w:val="008F50EB"/>
    <w:rsid w:val="00913274"/>
    <w:rsid w:val="00913310"/>
    <w:rsid w:val="00917FD2"/>
    <w:rsid w:val="009215EF"/>
    <w:rsid w:val="00922387"/>
    <w:rsid w:val="0092748F"/>
    <w:rsid w:val="00935349"/>
    <w:rsid w:val="00936FEA"/>
    <w:rsid w:val="00937E7B"/>
    <w:rsid w:val="009427F5"/>
    <w:rsid w:val="00947CF6"/>
    <w:rsid w:val="009532D9"/>
    <w:rsid w:val="0095340A"/>
    <w:rsid w:val="0095593F"/>
    <w:rsid w:val="00975438"/>
    <w:rsid w:val="0098198E"/>
    <w:rsid w:val="00982F8F"/>
    <w:rsid w:val="0098434F"/>
    <w:rsid w:val="009946AF"/>
    <w:rsid w:val="00995973"/>
    <w:rsid w:val="009A581B"/>
    <w:rsid w:val="009A7924"/>
    <w:rsid w:val="009B07A8"/>
    <w:rsid w:val="009B2223"/>
    <w:rsid w:val="009C0A33"/>
    <w:rsid w:val="009C2F6C"/>
    <w:rsid w:val="009C537C"/>
    <w:rsid w:val="009C6010"/>
    <w:rsid w:val="009D3520"/>
    <w:rsid w:val="009D3E0C"/>
    <w:rsid w:val="009D7E39"/>
    <w:rsid w:val="00A0161D"/>
    <w:rsid w:val="00A1773A"/>
    <w:rsid w:val="00A17F74"/>
    <w:rsid w:val="00A202E9"/>
    <w:rsid w:val="00A34658"/>
    <w:rsid w:val="00A363F8"/>
    <w:rsid w:val="00A36CF9"/>
    <w:rsid w:val="00A36EAC"/>
    <w:rsid w:val="00A43012"/>
    <w:rsid w:val="00A62629"/>
    <w:rsid w:val="00A678E6"/>
    <w:rsid w:val="00A707F7"/>
    <w:rsid w:val="00A72E9D"/>
    <w:rsid w:val="00A91390"/>
    <w:rsid w:val="00AB48BB"/>
    <w:rsid w:val="00AB4F20"/>
    <w:rsid w:val="00AB5C59"/>
    <w:rsid w:val="00AC5C18"/>
    <w:rsid w:val="00AD0939"/>
    <w:rsid w:val="00AE2894"/>
    <w:rsid w:val="00AE4024"/>
    <w:rsid w:val="00AE5AD4"/>
    <w:rsid w:val="00AF316F"/>
    <w:rsid w:val="00AF6722"/>
    <w:rsid w:val="00B11CFF"/>
    <w:rsid w:val="00B12A7E"/>
    <w:rsid w:val="00B15904"/>
    <w:rsid w:val="00B32E67"/>
    <w:rsid w:val="00B338B0"/>
    <w:rsid w:val="00B34DAD"/>
    <w:rsid w:val="00B35DE7"/>
    <w:rsid w:val="00B46084"/>
    <w:rsid w:val="00B47F47"/>
    <w:rsid w:val="00B70E8B"/>
    <w:rsid w:val="00B90068"/>
    <w:rsid w:val="00B938C7"/>
    <w:rsid w:val="00B97A30"/>
    <w:rsid w:val="00BA19A4"/>
    <w:rsid w:val="00BA2CBC"/>
    <w:rsid w:val="00BA7826"/>
    <w:rsid w:val="00BB0EBC"/>
    <w:rsid w:val="00BB152D"/>
    <w:rsid w:val="00BB4E28"/>
    <w:rsid w:val="00BD05CD"/>
    <w:rsid w:val="00BE7988"/>
    <w:rsid w:val="00BF15E9"/>
    <w:rsid w:val="00BF1A85"/>
    <w:rsid w:val="00BF3555"/>
    <w:rsid w:val="00C024D2"/>
    <w:rsid w:val="00C07BEB"/>
    <w:rsid w:val="00C07DAC"/>
    <w:rsid w:val="00C10A0C"/>
    <w:rsid w:val="00C12981"/>
    <w:rsid w:val="00C22BD5"/>
    <w:rsid w:val="00C345C2"/>
    <w:rsid w:val="00C34BBE"/>
    <w:rsid w:val="00C44DEB"/>
    <w:rsid w:val="00C45554"/>
    <w:rsid w:val="00C47949"/>
    <w:rsid w:val="00C51050"/>
    <w:rsid w:val="00C632DC"/>
    <w:rsid w:val="00C64478"/>
    <w:rsid w:val="00C73075"/>
    <w:rsid w:val="00C916B0"/>
    <w:rsid w:val="00CA63E7"/>
    <w:rsid w:val="00CB03D7"/>
    <w:rsid w:val="00CB1B6C"/>
    <w:rsid w:val="00CB48A1"/>
    <w:rsid w:val="00CC33C2"/>
    <w:rsid w:val="00CD3470"/>
    <w:rsid w:val="00CD4220"/>
    <w:rsid w:val="00CD56B0"/>
    <w:rsid w:val="00CE0E58"/>
    <w:rsid w:val="00CE1578"/>
    <w:rsid w:val="00CF7550"/>
    <w:rsid w:val="00D06267"/>
    <w:rsid w:val="00D13A79"/>
    <w:rsid w:val="00D210EA"/>
    <w:rsid w:val="00D21691"/>
    <w:rsid w:val="00D217A9"/>
    <w:rsid w:val="00D23EF1"/>
    <w:rsid w:val="00D25991"/>
    <w:rsid w:val="00D51A66"/>
    <w:rsid w:val="00D5391E"/>
    <w:rsid w:val="00D53E40"/>
    <w:rsid w:val="00D57565"/>
    <w:rsid w:val="00D6467C"/>
    <w:rsid w:val="00D647A5"/>
    <w:rsid w:val="00D64BBE"/>
    <w:rsid w:val="00D673C5"/>
    <w:rsid w:val="00D7028C"/>
    <w:rsid w:val="00D80307"/>
    <w:rsid w:val="00D87C01"/>
    <w:rsid w:val="00D91ED0"/>
    <w:rsid w:val="00D9406B"/>
    <w:rsid w:val="00D959F7"/>
    <w:rsid w:val="00DA58CB"/>
    <w:rsid w:val="00DB0A47"/>
    <w:rsid w:val="00DB1609"/>
    <w:rsid w:val="00DB263E"/>
    <w:rsid w:val="00DB5F95"/>
    <w:rsid w:val="00DB794E"/>
    <w:rsid w:val="00DD1F31"/>
    <w:rsid w:val="00DD5E9D"/>
    <w:rsid w:val="00DD6715"/>
    <w:rsid w:val="00DF4F6D"/>
    <w:rsid w:val="00E05E44"/>
    <w:rsid w:val="00E14C14"/>
    <w:rsid w:val="00E1732C"/>
    <w:rsid w:val="00E22140"/>
    <w:rsid w:val="00E27C9B"/>
    <w:rsid w:val="00E356A7"/>
    <w:rsid w:val="00E3661A"/>
    <w:rsid w:val="00E40ED7"/>
    <w:rsid w:val="00E55ACF"/>
    <w:rsid w:val="00E55AE9"/>
    <w:rsid w:val="00E562E0"/>
    <w:rsid w:val="00E569E7"/>
    <w:rsid w:val="00E672ED"/>
    <w:rsid w:val="00E67B8A"/>
    <w:rsid w:val="00E85024"/>
    <w:rsid w:val="00E87BCB"/>
    <w:rsid w:val="00EA5940"/>
    <w:rsid w:val="00EB0641"/>
    <w:rsid w:val="00EB779F"/>
    <w:rsid w:val="00ED011E"/>
    <w:rsid w:val="00ED41E2"/>
    <w:rsid w:val="00EE25C9"/>
    <w:rsid w:val="00EE2986"/>
    <w:rsid w:val="00EE3EDC"/>
    <w:rsid w:val="00EE64E9"/>
    <w:rsid w:val="00EF0B80"/>
    <w:rsid w:val="00EF44DE"/>
    <w:rsid w:val="00F003C5"/>
    <w:rsid w:val="00F02E60"/>
    <w:rsid w:val="00F042C5"/>
    <w:rsid w:val="00F14D42"/>
    <w:rsid w:val="00F23937"/>
    <w:rsid w:val="00F26EB9"/>
    <w:rsid w:val="00F34569"/>
    <w:rsid w:val="00F46F99"/>
    <w:rsid w:val="00F47B0A"/>
    <w:rsid w:val="00F51294"/>
    <w:rsid w:val="00F54187"/>
    <w:rsid w:val="00F573FA"/>
    <w:rsid w:val="00F621BF"/>
    <w:rsid w:val="00F65F92"/>
    <w:rsid w:val="00F67398"/>
    <w:rsid w:val="00F7668E"/>
    <w:rsid w:val="00F80374"/>
    <w:rsid w:val="00F824E5"/>
    <w:rsid w:val="00F836D7"/>
    <w:rsid w:val="00F838E9"/>
    <w:rsid w:val="00F860AD"/>
    <w:rsid w:val="00F86904"/>
    <w:rsid w:val="00F96F67"/>
    <w:rsid w:val="00FA2C75"/>
    <w:rsid w:val="00FA6172"/>
    <w:rsid w:val="00FB51EB"/>
    <w:rsid w:val="00FC07CD"/>
    <w:rsid w:val="00FC182E"/>
    <w:rsid w:val="00FD10B3"/>
    <w:rsid w:val="00FD1A55"/>
    <w:rsid w:val="00FE22E1"/>
    <w:rsid w:val="00FE7830"/>
    <w:rsid w:val="00FF4DE3"/>
    <w:rsid w:val="00FF6B5E"/>
    <w:rsid w:val="013637D1"/>
    <w:rsid w:val="013B6F49"/>
    <w:rsid w:val="01F80CC3"/>
    <w:rsid w:val="020C62E0"/>
    <w:rsid w:val="02333F26"/>
    <w:rsid w:val="02936D16"/>
    <w:rsid w:val="02BA5D3C"/>
    <w:rsid w:val="02D04989"/>
    <w:rsid w:val="030D5C47"/>
    <w:rsid w:val="03436EB1"/>
    <w:rsid w:val="037C5E5B"/>
    <w:rsid w:val="03EF1BF3"/>
    <w:rsid w:val="043A613C"/>
    <w:rsid w:val="04B80DA4"/>
    <w:rsid w:val="05324FAD"/>
    <w:rsid w:val="0580326D"/>
    <w:rsid w:val="05EE2D38"/>
    <w:rsid w:val="0615599C"/>
    <w:rsid w:val="062220DC"/>
    <w:rsid w:val="06907E78"/>
    <w:rsid w:val="06BD3CB1"/>
    <w:rsid w:val="074E1A17"/>
    <w:rsid w:val="07884706"/>
    <w:rsid w:val="07A07C45"/>
    <w:rsid w:val="0891161B"/>
    <w:rsid w:val="08C8374C"/>
    <w:rsid w:val="090017E6"/>
    <w:rsid w:val="09295C2E"/>
    <w:rsid w:val="09C5432A"/>
    <w:rsid w:val="09EB6775"/>
    <w:rsid w:val="09FC7E32"/>
    <w:rsid w:val="0A025F54"/>
    <w:rsid w:val="0AED607C"/>
    <w:rsid w:val="0B9F6417"/>
    <w:rsid w:val="0BBF279B"/>
    <w:rsid w:val="0BE34F3A"/>
    <w:rsid w:val="0DB25F8E"/>
    <w:rsid w:val="0DE22AE9"/>
    <w:rsid w:val="0E1075F7"/>
    <w:rsid w:val="0E497E38"/>
    <w:rsid w:val="0E8A0CB9"/>
    <w:rsid w:val="0E8E54DA"/>
    <w:rsid w:val="0F505F52"/>
    <w:rsid w:val="0F8D50AE"/>
    <w:rsid w:val="0F901107"/>
    <w:rsid w:val="0FB00BF3"/>
    <w:rsid w:val="0FBB302F"/>
    <w:rsid w:val="0FE07842"/>
    <w:rsid w:val="0FE352BA"/>
    <w:rsid w:val="0FE87A18"/>
    <w:rsid w:val="110C3C07"/>
    <w:rsid w:val="111D5683"/>
    <w:rsid w:val="1121779D"/>
    <w:rsid w:val="112C793F"/>
    <w:rsid w:val="123A3A46"/>
    <w:rsid w:val="14B20C61"/>
    <w:rsid w:val="14BB183C"/>
    <w:rsid w:val="14E07D19"/>
    <w:rsid w:val="15505126"/>
    <w:rsid w:val="16452C82"/>
    <w:rsid w:val="16A41CF4"/>
    <w:rsid w:val="16D46ABB"/>
    <w:rsid w:val="17157CEB"/>
    <w:rsid w:val="180150B2"/>
    <w:rsid w:val="18426B32"/>
    <w:rsid w:val="18DD37FB"/>
    <w:rsid w:val="1A6101EA"/>
    <w:rsid w:val="1AD87250"/>
    <w:rsid w:val="1B7522B7"/>
    <w:rsid w:val="1B7905AD"/>
    <w:rsid w:val="1BB17AF4"/>
    <w:rsid w:val="1BE671DD"/>
    <w:rsid w:val="1C0B4074"/>
    <w:rsid w:val="1C9444C1"/>
    <w:rsid w:val="1D463BFE"/>
    <w:rsid w:val="1D791AAA"/>
    <w:rsid w:val="1ECE5416"/>
    <w:rsid w:val="1F734AF8"/>
    <w:rsid w:val="1F8258B1"/>
    <w:rsid w:val="1F8C17AC"/>
    <w:rsid w:val="1FBF60A4"/>
    <w:rsid w:val="1FC42F67"/>
    <w:rsid w:val="21062761"/>
    <w:rsid w:val="220B7F0B"/>
    <w:rsid w:val="229816E8"/>
    <w:rsid w:val="22A068A5"/>
    <w:rsid w:val="22AA72EE"/>
    <w:rsid w:val="23A06B4C"/>
    <w:rsid w:val="23F878E6"/>
    <w:rsid w:val="242343C0"/>
    <w:rsid w:val="24DC4F6D"/>
    <w:rsid w:val="24EE08B7"/>
    <w:rsid w:val="257302A1"/>
    <w:rsid w:val="258E41D2"/>
    <w:rsid w:val="259E00F0"/>
    <w:rsid w:val="25D1423A"/>
    <w:rsid w:val="262F59FD"/>
    <w:rsid w:val="26694392"/>
    <w:rsid w:val="26921504"/>
    <w:rsid w:val="26926505"/>
    <w:rsid w:val="26AF0F1E"/>
    <w:rsid w:val="26D1527F"/>
    <w:rsid w:val="26ED3325"/>
    <w:rsid w:val="270E48DA"/>
    <w:rsid w:val="278477DF"/>
    <w:rsid w:val="27D96EA9"/>
    <w:rsid w:val="280327BB"/>
    <w:rsid w:val="28255A6D"/>
    <w:rsid w:val="286C3447"/>
    <w:rsid w:val="296F1DD2"/>
    <w:rsid w:val="29BC5038"/>
    <w:rsid w:val="2A836EE1"/>
    <w:rsid w:val="2B9E76FA"/>
    <w:rsid w:val="2C041527"/>
    <w:rsid w:val="2C2650BC"/>
    <w:rsid w:val="2C7C270D"/>
    <w:rsid w:val="2CB25B82"/>
    <w:rsid w:val="2CC76417"/>
    <w:rsid w:val="2D105402"/>
    <w:rsid w:val="2D24191D"/>
    <w:rsid w:val="2D6F134E"/>
    <w:rsid w:val="2DC01D8D"/>
    <w:rsid w:val="2DF63682"/>
    <w:rsid w:val="2E0E359B"/>
    <w:rsid w:val="2E0F1133"/>
    <w:rsid w:val="2E8302B9"/>
    <w:rsid w:val="2ECD0067"/>
    <w:rsid w:val="30A21A3A"/>
    <w:rsid w:val="30B73D85"/>
    <w:rsid w:val="31600BF9"/>
    <w:rsid w:val="31E86AE5"/>
    <w:rsid w:val="3289456D"/>
    <w:rsid w:val="33F702EF"/>
    <w:rsid w:val="341C1898"/>
    <w:rsid w:val="34274BA0"/>
    <w:rsid w:val="34711127"/>
    <w:rsid w:val="34C77CC1"/>
    <w:rsid w:val="35287DEF"/>
    <w:rsid w:val="353E2A64"/>
    <w:rsid w:val="359A7D6A"/>
    <w:rsid w:val="36BC52CD"/>
    <w:rsid w:val="36EE59D9"/>
    <w:rsid w:val="370B67E6"/>
    <w:rsid w:val="377D6D5D"/>
    <w:rsid w:val="379E11AD"/>
    <w:rsid w:val="37A570AD"/>
    <w:rsid w:val="396D5EAE"/>
    <w:rsid w:val="39C92BA7"/>
    <w:rsid w:val="3A8528D9"/>
    <w:rsid w:val="3AB1708F"/>
    <w:rsid w:val="3B475313"/>
    <w:rsid w:val="3B9C2C14"/>
    <w:rsid w:val="3BC92C9E"/>
    <w:rsid w:val="3C831717"/>
    <w:rsid w:val="3CE16539"/>
    <w:rsid w:val="3D2F0AF9"/>
    <w:rsid w:val="3D472F47"/>
    <w:rsid w:val="3DD5344F"/>
    <w:rsid w:val="3EFD3DD9"/>
    <w:rsid w:val="3F487C50"/>
    <w:rsid w:val="3F5664A0"/>
    <w:rsid w:val="3F752E29"/>
    <w:rsid w:val="3FA62FD4"/>
    <w:rsid w:val="3FB62E0C"/>
    <w:rsid w:val="3FC96EB0"/>
    <w:rsid w:val="403A57EB"/>
    <w:rsid w:val="409D0420"/>
    <w:rsid w:val="421A70DE"/>
    <w:rsid w:val="42755200"/>
    <w:rsid w:val="4290203A"/>
    <w:rsid w:val="42B33D69"/>
    <w:rsid w:val="42BE6BA7"/>
    <w:rsid w:val="43046BE3"/>
    <w:rsid w:val="430F11B1"/>
    <w:rsid w:val="44136A7F"/>
    <w:rsid w:val="443B6DB9"/>
    <w:rsid w:val="44BB7901"/>
    <w:rsid w:val="450D5951"/>
    <w:rsid w:val="452A0CE3"/>
    <w:rsid w:val="4535546F"/>
    <w:rsid w:val="45543F6C"/>
    <w:rsid w:val="45C630DB"/>
    <w:rsid w:val="45E530DF"/>
    <w:rsid w:val="460C4422"/>
    <w:rsid w:val="46310F9E"/>
    <w:rsid w:val="4642364B"/>
    <w:rsid w:val="465E7989"/>
    <w:rsid w:val="46E029D4"/>
    <w:rsid w:val="47267BCF"/>
    <w:rsid w:val="473B1E9E"/>
    <w:rsid w:val="479D5011"/>
    <w:rsid w:val="47C86E80"/>
    <w:rsid w:val="48360F8E"/>
    <w:rsid w:val="48433030"/>
    <w:rsid w:val="487B666E"/>
    <w:rsid w:val="492139EC"/>
    <w:rsid w:val="49D15DCB"/>
    <w:rsid w:val="4A0D3F70"/>
    <w:rsid w:val="4AA03036"/>
    <w:rsid w:val="4AAE7501"/>
    <w:rsid w:val="4ACC7988"/>
    <w:rsid w:val="4BCC7013"/>
    <w:rsid w:val="4BFB5C0C"/>
    <w:rsid w:val="4CDB68F6"/>
    <w:rsid w:val="4D5B1554"/>
    <w:rsid w:val="4D613699"/>
    <w:rsid w:val="4DA061D2"/>
    <w:rsid w:val="4DE80F7C"/>
    <w:rsid w:val="4E2220B6"/>
    <w:rsid w:val="4E2A14DC"/>
    <w:rsid w:val="4E721C6A"/>
    <w:rsid w:val="4FC94F99"/>
    <w:rsid w:val="4FF213A6"/>
    <w:rsid w:val="50B746F8"/>
    <w:rsid w:val="50EA7AF9"/>
    <w:rsid w:val="515B161C"/>
    <w:rsid w:val="51710868"/>
    <w:rsid w:val="51E23E3F"/>
    <w:rsid w:val="52213985"/>
    <w:rsid w:val="5283291C"/>
    <w:rsid w:val="529945F3"/>
    <w:rsid w:val="53486019"/>
    <w:rsid w:val="53672943"/>
    <w:rsid w:val="537F5EDF"/>
    <w:rsid w:val="53837A3D"/>
    <w:rsid w:val="54366037"/>
    <w:rsid w:val="544B26A6"/>
    <w:rsid w:val="54A60F4E"/>
    <w:rsid w:val="55257C9D"/>
    <w:rsid w:val="55864DA4"/>
    <w:rsid w:val="55CC5F93"/>
    <w:rsid w:val="562D7E5B"/>
    <w:rsid w:val="567C4300"/>
    <w:rsid w:val="56B66BD3"/>
    <w:rsid w:val="57147DE6"/>
    <w:rsid w:val="57195ED7"/>
    <w:rsid w:val="57401EA9"/>
    <w:rsid w:val="579F36A0"/>
    <w:rsid w:val="57E62D17"/>
    <w:rsid w:val="58CA0AC5"/>
    <w:rsid w:val="59484FC5"/>
    <w:rsid w:val="59811085"/>
    <w:rsid w:val="59BB2A06"/>
    <w:rsid w:val="5A0369F5"/>
    <w:rsid w:val="5A407A4A"/>
    <w:rsid w:val="5A504131"/>
    <w:rsid w:val="5ABD4D8E"/>
    <w:rsid w:val="5AD3266C"/>
    <w:rsid w:val="5AD91F6A"/>
    <w:rsid w:val="5AE900E2"/>
    <w:rsid w:val="5B3D2BF4"/>
    <w:rsid w:val="5B4F36C7"/>
    <w:rsid w:val="5BA6424E"/>
    <w:rsid w:val="5BED4932"/>
    <w:rsid w:val="5C103E9D"/>
    <w:rsid w:val="5C1D42D4"/>
    <w:rsid w:val="5C4C26D6"/>
    <w:rsid w:val="5D2934EA"/>
    <w:rsid w:val="5D5759CA"/>
    <w:rsid w:val="5DF03535"/>
    <w:rsid w:val="5E126EA5"/>
    <w:rsid w:val="5E9736D7"/>
    <w:rsid w:val="5FE74239"/>
    <w:rsid w:val="5FF24D0C"/>
    <w:rsid w:val="5FF925C4"/>
    <w:rsid w:val="600C287A"/>
    <w:rsid w:val="600F70A7"/>
    <w:rsid w:val="60261FB8"/>
    <w:rsid w:val="605B507D"/>
    <w:rsid w:val="606D3679"/>
    <w:rsid w:val="606F6DC3"/>
    <w:rsid w:val="608E3692"/>
    <w:rsid w:val="609E0EA0"/>
    <w:rsid w:val="60EA6962"/>
    <w:rsid w:val="60F74BC0"/>
    <w:rsid w:val="610E245B"/>
    <w:rsid w:val="611C26A2"/>
    <w:rsid w:val="61447E20"/>
    <w:rsid w:val="61FF41D8"/>
    <w:rsid w:val="624F298D"/>
    <w:rsid w:val="62903678"/>
    <w:rsid w:val="63344F30"/>
    <w:rsid w:val="636E72AD"/>
    <w:rsid w:val="64154AF9"/>
    <w:rsid w:val="6455525E"/>
    <w:rsid w:val="64AE0C96"/>
    <w:rsid w:val="64AF30A1"/>
    <w:rsid w:val="64BD09F4"/>
    <w:rsid w:val="653B3C30"/>
    <w:rsid w:val="6552501F"/>
    <w:rsid w:val="67672ABA"/>
    <w:rsid w:val="694022A0"/>
    <w:rsid w:val="69BF262E"/>
    <w:rsid w:val="69C44597"/>
    <w:rsid w:val="69FA19C4"/>
    <w:rsid w:val="6A0E3F27"/>
    <w:rsid w:val="6A333127"/>
    <w:rsid w:val="6A5D63FE"/>
    <w:rsid w:val="6A7D7D3F"/>
    <w:rsid w:val="6ACE16B6"/>
    <w:rsid w:val="6B013226"/>
    <w:rsid w:val="6B555B6D"/>
    <w:rsid w:val="6B5C466A"/>
    <w:rsid w:val="6BA57595"/>
    <w:rsid w:val="6BDA4EC9"/>
    <w:rsid w:val="6C3D203B"/>
    <w:rsid w:val="6D094AA7"/>
    <w:rsid w:val="6D735616"/>
    <w:rsid w:val="6DE45187"/>
    <w:rsid w:val="6E3631E6"/>
    <w:rsid w:val="6EEF1D13"/>
    <w:rsid w:val="6EF2535F"/>
    <w:rsid w:val="6F1D043C"/>
    <w:rsid w:val="6F307A8E"/>
    <w:rsid w:val="6F403C59"/>
    <w:rsid w:val="6F64384D"/>
    <w:rsid w:val="6FA56875"/>
    <w:rsid w:val="70C40F7D"/>
    <w:rsid w:val="71641E18"/>
    <w:rsid w:val="71B32766"/>
    <w:rsid w:val="721D787C"/>
    <w:rsid w:val="725D42D9"/>
    <w:rsid w:val="726A165C"/>
    <w:rsid w:val="73103C63"/>
    <w:rsid w:val="731F1110"/>
    <w:rsid w:val="73892FCE"/>
    <w:rsid w:val="73A1082F"/>
    <w:rsid w:val="73F05BE5"/>
    <w:rsid w:val="73FB6A64"/>
    <w:rsid w:val="73FC2301"/>
    <w:rsid w:val="75630D65"/>
    <w:rsid w:val="765F224B"/>
    <w:rsid w:val="77157517"/>
    <w:rsid w:val="77456660"/>
    <w:rsid w:val="78A609C8"/>
    <w:rsid w:val="78BC64DE"/>
    <w:rsid w:val="78E01D8B"/>
    <w:rsid w:val="79163167"/>
    <w:rsid w:val="79D85F74"/>
    <w:rsid w:val="7A536DE3"/>
    <w:rsid w:val="7B0D1E5D"/>
    <w:rsid w:val="7C0B7A60"/>
    <w:rsid w:val="7CBD2B4C"/>
    <w:rsid w:val="7CBE2D25"/>
    <w:rsid w:val="7D0E502D"/>
    <w:rsid w:val="7D1256A1"/>
    <w:rsid w:val="7D2A660C"/>
    <w:rsid w:val="7D462FEA"/>
    <w:rsid w:val="7DAC1E0F"/>
    <w:rsid w:val="7DD00CA8"/>
    <w:rsid w:val="7E0D4FD3"/>
    <w:rsid w:val="7E1A3936"/>
    <w:rsid w:val="7E33504C"/>
    <w:rsid w:val="7E496ACE"/>
    <w:rsid w:val="7E62150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3">
    <w:name w:val="Body Text Indent 2"/>
    <w:basedOn w:val="1"/>
    <w:link w:val="12"/>
    <w:qFormat/>
    <w:uiPriority w:val="0"/>
    <w:pPr>
      <w:spacing w:line="288" w:lineRule="auto"/>
      <w:ind w:firstLine="435"/>
    </w:pPr>
    <w:rPr>
      <w:rFonts w:ascii="Times New Roman" w:hAnsi="Times New Roman" w:eastAsia="宋体" w:cs="Times New Roman"/>
      <w:szCs w:val="21"/>
    </w:r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Times New Roman" w:hAnsi="Times New Roman" w:eastAsia="宋体" w:cs="Times New Roman"/>
      <w:szCs w:val="21"/>
    </w:rPr>
  </w:style>
  <w:style w:type="character" w:customStyle="1" w:styleId="12">
    <w:name w:val="正文文本缩进 2 Char"/>
    <w:basedOn w:val="9"/>
    <w:link w:val="3"/>
    <w:qFormat/>
    <w:uiPriority w:val="0"/>
    <w:rPr>
      <w:rFonts w:ascii="Times New Roman" w:hAnsi="Times New Roman" w:eastAsia="宋体" w:cs="Times New Roman"/>
      <w:szCs w:val="21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6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7">
    <w:name w:val="日期 Char"/>
    <w:basedOn w:val="9"/>
    <w:link w:val="2"/>
    <w:semiHidden/>
    <w:qFormat/>
    <w:uiPriority w:val="99"/>
  </w:style>
  <w:style w:type="paragraph" w:customStyle="1" w:styleId="18">
    <w:name w:val="附录标识"/>
    <w:basedOn w:val="1"/>
    <w:next w:val="1"/>
    <w:qFormat/>
    <w:uiPriority w:val="0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paragraph" w:customStyle="1" w:styleId="19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0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21">
    <w:name w:val="章标题"/>
    <w:next w:val="19"/>
    <w:qFormat/>
    <w:uiPriority w:val="0"/>
    <w:pPr>
      <w:numPr>
        <w:ilvl w:val="0"/>
        <w:numId w:val="1"/>
      </w:numPr>
      <w:spacing w:beforeLines="100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2">
    <w:name w:val="一级条标题"/>
    <w:next w:val="19"/>
    <w:qFormat/>
    <w:uiPriority w:val="0"/>
    <w:pPr>
      <w:numPr>
        <w:ilvl w:val="1"/>
        <w:numId w:val="1"/>
      </w:numPr>
      <w:spacing w:beforeLines="50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23">
    <w:name w:val="二级条标题"/>
    <w:basedOn w:val="22"/>
    <w:next w:val="19"/>
    <w:qFormat/>
    <w:uiPriority w:val="0"/>
    <w:pPr>
      <w:numPr>
        <w:ilvl w:val="2"/>
      </w:numPr>
      <w:spacing w:before="50" w:after="50"/>
      <w:outlineLvl w:val="3"/>
    </w:pPr>
  </w:style>
  <w:style w:type="paragraph" w:customStyle="1" w:styleId="24">
    <w:name w:val="标准文件_二级条标题"/>
    <w:next w:val="1"/>
    <w:qFormat/>
    <w:uiPriority w:val="0"/>
    <w:pPr>
      <w:widowControl w:val="0"/>
      <w:numPr>
        <w:ilvl w:val="3"/>
        <w:numId w:val="2"/>
      </w:numPr>
      <w:spacing w:beforeLines="50" w:afterLines="50"/>
      <w:jc w:val="both"/>
      <w:outlineLvl w:val="2"/>
    </w:pPr>
    <w:rPr>
      <w:rFonts w:ascii="黑体" w:hAnsi="Times New Roman" w:eastAsia="黑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1"/>
    <customShpInfo spid="_x0000_s2050"/>
    <customShpInfo spid="_x0000_s204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2551</Words>
  <Characters>2787</Characters>
  <Lines>34</Lines>
  <Paragraphs>9</Paragraphs>
  <TotalTime>31</TotalTime>
  <ScaleCrop>false</ScaleCrop>
  <LinksUpToDate>false</LinksUpToDate>
  <CharactersWithSpaces>2887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2023-10-30T07:43:00Z</dcterms:created>
  <dc:creator>dell</dc:creator>
  <cp:lastModifiedBy>马雪</cp:lastModifiedBy>
  <cp:lastPrinted>2023-07-24T10:20:00Z</cp:lastPrinted>
  <dcterms:modified xsi:type="dcterms:W3CDTF">2025-04-03T08:29:28Z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4D85E2CBD8DC4C2DB0315712C6E1ADD1_13</vt:lpwstr>
  </property>
  <property fmtid="{D5CDD505-2E9C-101B-9397-08002B2CF9AE}" pid="4" name="KSOTemplateDocerSaveRecord">
    <vt:lpwstr>eyJoZGlkIjoiYzIyYzJkNzEzMjQwZjVlZDkxNjFjOTcxNmM5ZTUzYzAiLCJ1c2VySWQiOiI3MDQ5NzI3MjUifQ==</vt:lpwstr>
  </property>
</Properties>
</file>