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96B" w:rsidRDefault="003B696B" w:rsidP="003B696B">
      <w:pPr>
        <w:pStyle w:val="1"/>
        <w:spacing w:beforeLines="50" w:before="120" w:afterLines="50" w:after="120" w:line="400" w:lineRule="atLeast"/>
        <w:ind w:left="357" w:firstLineChars="0" w:firstLine="0"/>
        <w:contextualSpacing/>
        <w:jc w:val="distribute"/>
        <w:rPr>
          <w:rFonts w:ascii="黑体" w:eastAsia="黑体" w:hAnsi="黑体" w:cs="宋体" w:hint="eastAsia"/>
          <w:sz w:val="44"/>
          <w:szCs w:val="44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3B696B" w:rsidRDefault="000F4853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right"/>
        <w:rPr>
          <w:rFonts w:eastAsia="黑体"/>
          <w:sz w:val="28"/>
          <w:szCs w:val="28"/>
        </w:rPr>
      </w:pPr>
      <w:r w:rsidRPr="000F4853">
        <w:rPr>
          <w:rFonts w:eastAsia="黑体"/>
          <w:sz w:val="28"/>
          <w:szCs w:val="28"/>
        </w:rPr>
        <w:t>LB/T</w:t>
      </w:r>
      <w:r w:rsidR="003B696B">
        <w:rPr>
          <w:rFonts w:ascii="黑体" w:eastAsia="黑体" w:hAnsi="黑体" w:cs="宋体"/>
          <w:sz w:val="28"/>
          <w:szCs w:val="28"/>
        </w:rPr>
        <w:t xml:space="preserve"> </w:t>
      </w:r>
      <w:r w:rsidR="003B696B">
        <w:rPr>
          <w:rFonts w:ascii="黑体" w:eastAsia="黑体" w:hAnsi="黑体" w:cs="宋体" w:hint="eastAsia"/>
          <w:sz w:val="28"/>
          <w:szCs w:val="28"/>
        </w:rPr>
        <w:t>334</w:t>
      </w:r>
      <w:r>
        <w:rPr>
          <w:rFonts w:ascii="黑体" w:eastAsia="黑体" w:hAnsi="黑体" w:cs="宋体"/>
          <w:sz w:val="28"/>
          <w:szCs w:val="28"/>
        </w:rPr>
        <w:t>-2025</w:t>
      </w: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162560</wp:posOffset>
                </wp:positionH>
                <wp:positionV relativeFrom="paragraph">
                  <wp:posOffset>76835</wp:posOffset>
                </wp:positionV>
                <wp:extent cx="5772150" cy="0"/>
                <wp:effectExtent l="0" t="0" r="19050" b="1905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2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15B1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" o:spid="_x0000_s1026" type="#_x0000_t32" style="position:absolute;left:0;text-align:left;margin-left:12.8pt;margin-top:6.05pt;width:454.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"/>
            </w:pict>
          </mc:Fallback>
        </mc:AlternateContent>
      </w: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rPr>
          <w:rFonts w:ascii="黑体" w:eastAsia="黑体" w:hAnsi="黑体" w:cs="宋体"/>
          <w:sz w:val="36"/>
          <w:szCs w:val="36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671B3" w:rsidRDefault="00C671B3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671B3" w:rsidRDefault="00C671B3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671B3" w:rsidRDefault="00C671B3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C671B3" w:rsidRDefault="00C671B3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3B696B" w:rsidRPr="003B696B" w:rsidRDefault="003B696B" w:rsidP="003B696B">
      <w:pPr>
        <w:pStyle w:val="1"/>
        <w:spacing w:beforeLines="50" w:before="120" w:afterLines="50" w:after="120" w:line="360" w:lineRule="auto"/>
        <w:ind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 w:rsidRPr="003B696B">
        <w:rPr>
          <w:rFonts w:ascii="黑体" w:eastAsia="黑体" w:hAnsi="黑体" w:hint="eastAsia"/>
          <w:sz w:val="48"/>
          <w:szCs w:val="48"/>
        </w:rPr>
        <w:t>高温高湿地区</w:t>
      </w:r>
    </w:p>
    <w:p w:rsidR="003B696B" w:rsidRDefault="003B696B" w:rsidP="003B696B">
      <w:pPr>
        <w:pStyle w:val="1"/>
        <w:spacing w:beforeLines="50" w:before="120" w:afterLines="50" w:after="120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3B696B">
        <w:rPr>
          <w:rFonts w:ascii="黑体" w:eastAsia="黑体" w:hAnsi="黑体" w:hint="eastAsia"/>
          <w:sz w:val="48"/>
          <w:szCs w:val="48"/>
        </w:rPr>
        <w:t>绿色食品火龙果生产操作规程</w:t>
      </w: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Default="003B696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B696B" w:rsidRPr="003B696B" w:rsidRDefault="004C155B" w:rsidP="003B696B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2025-04-01</w:t>
      </w:r>
      <w:r w:rsidR="003B696B">
        <w:rPr>
          <w:rFonts w:ascii="黑体" w:eastAsia="黑体" w:hAnsi="黑体" w:cs="宋体" w:hint="eastAsia"/>
          <w:sz w:val="28"/>
          <w:szCs w:val="28"/>
        </w:rPr>
        <w:t xml:space="preserve">发布               </w:t>
      </w:r>
      <w:r w:rsidR="003B696B">
        <w:rPr>
          <w:rFonts w:ascii="黑体" w:eastAsia="黑体" w:hAnsi="黑体" w:cs="宋体"/>
          <w:sz w:val="28"/>
          <w:szCs w:val="28"/>
        </w:rPr>
        <w:t xml:space="preserve">       </w:t>
      </w:r>
      <w:r w:rsidR="003B696B"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3B696B">
        <w:rPr>
          <w:rFonts w:ascii="黑体" w:eastAsia="黑体" w:hAnsi="黑体" w:cs="宋体"/>
          <w:sz w:val="28"/>
          <w:szCs w:val="28"/>
        </w:rPr>
        <w:t xml:space="preserve">  </w:t>
      </w:r>
      <w:r w:rsidR="003B696B">
        <w:rPr>
          <w:rFonts w:ascii="黑体" w:eastAsia="黑体" w:hAnsi="黑体" w:cs="宋体" w:hint="eastAsia"/>
          <w:sz w:val="28"/>
          <w:szCs w:val="28"/>
        </w:rPr>
        <w:t xml:space="preserve">   </w:t>
      </w:r>
      <w:r w:rsidR="003B696B">
        <w:rPr>
          <w:rFonts w:ascii="黑体" w:eastAsia="黑体" w:hAnsi="黑体" w:cs="宋体"/>
          <w:sz w:val="28"/>
          <w:szCs w:val="28"/>
        </w:rPr>
        <w:t xml:space="preserve">    </w:t>
      </w:r>
      <w:r>
        <w:rPr>
          <w:rFonts w:ascii="黑体" w:eastAsia="黑体" w:hAnsi="黑体" w:cs="宋体" w:hint="eastAsia"/>
          <w:sz w:val="28"/>
          <w:szCs w:val="28"/>
        </w:rPr>
        <w:t>2025-04-01</w:t>
      </w:r>
      <w:r w:rsidR="003B696B">
        <w:rPr>
          <w:rFonts w:ascii="黑体" w:eastAsia="黑体" w:hAnsi="黑体" w:cs="宋体" w:hint="eastAsia"/>
          <w:sz w:val="28"/>
          <w:szCs w:val="28"/>
        </w:rPr>
        <w:t>实施</w:t>
      </w:r>
    </w:p>
    <w:p w:rsidR="003B696B" w:rsidRDefault="003B696B" w:rsidP="003B696B">
      <w:pPr>
        <w:pStyle w:val="a"/>
        <w:spacing w:before="900" w:after="360"/>
        <w:ind w:left="0" w:firstLine="0"/>
        <w:rPr>
          <w:rFonts w:hAnsi="黑体" w:cs="宋体"/>
          <w:sz w:val="28"/>
          <w:szCs w:val="28"/>
        </w:rPr>
        <w:sectPr w:rsidR="003B696B">
          <w:headerReference w:type="even" r:id="rId7"/>
          <w:headerReference w:type="default" r:id="rId8"/>
          <w:footerReference w:type="even" r:id="rId9"/>
          <w:headerReference w:type="first" r:id="rId10"/>
          <w:pgSz w:w="11906" w:h="16838"/>
          <w:pgMar w:top="1928" w:right="1134" w:bottom="1134" w:left="1134" w:header="1418" w:footer="1134" w:gutter="284"/>
          <w:pgNumType w:fmt="upperRoman" w:start="1"/>
          <w:cols w:space="425"/>
          <w:formProt w:val="0"/>
          <w:docGrid w:linePitch="312"/>
        </w:sectPr>
      </w:pPr>
      <w:r>
        <w:rPr>
          <w:rFonts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69B25" wp14:editId="7E0A988E">
                <wp:simplePos x="0" y="0"/>
                <wp:positionH relativeFrom="column">
                  <wp:posOffset>12065</wp:posOffset>
                </wp:positionH>
                <wp:positionV relativeFrom="paragraph">
                  <wp:posOffset>241300</wp:posOffset>
                </wp:positionV>
                <wp:extent cx="5760000" cy="15240"/>
                <wp:effectExtent l="0" t="0" r="31750" b="2286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8F921" id="直接箭头连接符 1" o:spid="_x0000_s1026" type="#_x0000_t32" style="position:absolute;left:0;text-align:left;margin-left:.95pt;margin-top:19pt;width:453.55pt;height: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"/>
            </w:pict>
          </mc:Fallback>
        </mc:AlternateContent>
      </w:r>
      <w:r>
        <w:rPr>
          <w:rFonts w:ascii="华文中宋" w:eastAsia="华文中宋" w:hAnsi="华文中宋" w:cs="宋体" w:hint="eastAsia"/>
          <w:spacing w:val="71"/>
          <w:szCs w:val="3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szCs w:val="32"/>
        </w:rPr>
        <w:t>心</w:t>
      </w:r>
      <w:r>
        <w:rPr>
          <w:rFonts w:ascii="华文中宋" w:eastAsia="华文中宋" w:hAnsi="华文中宋" w:cs="宋体" w:hint="eastAsia"/>
          <w:szCs w:val="32"/>
        </w:rPr>
        <w:t xml:space="preserve">  </w:t>
      </w:r>
      <w:r>
        <w:rPr>
          <w:rFonts w:hAnsi="黑体" w:cs="宋体" w:hint="eastAsia"/>
          <w:sz w:val="28"/>
          <w:szCs w:val="28"/>
        </w:rPr>
        <w:t>发 布</w:t>
      </w:r>
      <w:bookmarkStart w:id="0" w:name="BookMark2"/>
    </w:p>
    <w:p w:rsidR="003B696B" w:rsidRDefault="003B696B" w:rsidP="00157C6D">
      <w:pPr>
        <w:pStyle w:val="a"/>
        <w:spacing w:before="900" w:after="360" w:line="360" w:lineRule="auto"/>
      </w:pPr>
      <w:r>
        <w:rPr>
          <w:spacing w:val="320"/>
        </w:rPr>
        <w:lastRenderedPageBreak/>
        <w:t>前</w:t>
      </w:r>
      <w:r>
        <w:t>言</w:t>
      </w:r>
    </w:p>
    <w:p w:rsidR="003B696B" w:rsidRDefault="003B696B" w:rsidP="00157C6D">
      <w:pPr>
        <w:pStyle w:val="afe"/>
        <w:spacing w:line="360" w:lineRule="auto"/>
        <w:ind w:firstLine="420"/>
        <w:rPr>
          <w:color w:val="000000"/>
        </w:rPr>
      </w:pPr>
      <w:r>
        <w:rPr>
          <w:rFonts w:hint="eastAsia"/>
          <w:color w:val="000000"/>
        </w:rPr>
        <w:t>本规程由中国绿色食品发展中心提出并归口。</w:t>
      </w:r>
    </w:p>
    <w:p w:rsidR="003B696B" w:rsidRDefault="003B696B" w:rsidP="00157C6D">
      <w:pPr>
        <w:pStyle w:val="afe"/>
        <w:spacing w:line="360" w:lineRule="auto"/>
        <w:ind w:firstLine="420"/>
        <w:rPr>
          <w:color w:val="000000"/>
        </w:rPr>
      </w:pPr>
      <w:r>
        <w:rPr>
          <w:rFonts w:hint="eastAsia"/>
          <w:color w:val="000000"/>
        </w:rPr>
        <w:t>本规程起草单位：广西壮族自治区绿色食品发展站、广西壮族自治区农业科学院园艺研究所、广西绿色食品协会、广东省绿色食品发展中心</w:t>
      </w:r>
      <w:r>
        <w:rPr>
          <w:rFonts w:hint="eastAsia"/>
          <w:color w:val="000000"/>
          <w:lang w:val="en"/>
        </w:rPr>
        <w:t>（广东省绿色食品发展中心）</w:t>
      </w:r>
      <w:r>
        <w:rPr>
          <w:rFonts w:hint="eastAsia"/>
          <w:color w:val="000000"/>
        </w:rPr>
        <w:t>、海南省绿色食品发展中心、云南省绿色食</w:t>
      </w:r>
      <w:r>
        <w:rPr>
          <w:color w:val="000000"/>
        </w:rPr>
        <w:t>品发展中心</w:t>
      </w:r>
      <w:r>
        <w:rPr>
          <w:rFonts w:hint="eastAsia"/>
          <w:color w:val="000000"/>
        </w:rPr>
        <w:t>、中国绿色食品</w:t>
      </w:r>
      <w:r>
        <w:rPr>
          <w:color w:val="000000"/>
        </w:rPr>
        <w:t>发展中心</w:t>
      </w:r>
      <w:r>
        <w:rPr>
          <w:rFonts w:hint="eastAsia"/>
          <w:color w:val="000000"/>
        </w:rPr>
        <w:t>。</w:t>
      </w:r>
    </w:p>
    <w:p w:rsidR="003B696B" w:rsidRDefault="003B696B" w:rsidP="00157C6D">
      <w:pPr>
        <w:pStyle w:val="afe"/>
        <w:spacing w:line="360" w:lineRule="auto"/>
        <w:ind w:firstLine="420"/>
      </w:pPr>
      <w:r>
        <w:rPr>
          <w:rFonts w:hint="eastAsia"/>
          <w:color w:val="000000"/>
        </w:rPr>
        <w:t>本规程主要起草人：陆燕、梁桂东、黄黎芳、邓海燕、武志江、陆贵锋、叶小滢、刘朝安、莫东山、钟燕、黎珂</w:t>
      </w:r>
      <w:proofErr w:type="gramStart"/>
      <w:r>
        <w:rPr>
          <w:rFonts w:hint="eastAsia"/>
          <w:color w:val="000000"/>
        </w:rPr>
        <w:t>彤</w:t>
      </w:r>
      <w:proofErr w:type="gramEnd"/>
      <w:r>
        <w:rPr>
          <w:rFonts w:hint="eastAsia"/>
          <w:color w:val="000000"/>
        </w:rPr>
        <w:t>、李佳、</w:t>
      </w:r>
      <w:r>
        <w:rPr>
          <w:color w:val="000000"/>
        </w:rPr>
        <w:t>李晓慧、</w:t>
      </w:r>
      <w:r>
        <w:rPr>
          <w:rFonts w:hint="eastAsia"/>
          <w:color w:val="000000"/>
        </w:rPr>
        <w:t>黄琼瑶、毛静花、翁颖娇、</w:t>
      </w:r>
      <w:proofErr w:type="gramStart"/>
      <w:r>
        <w:rPr>
          <w:color w:val="000000"/>
        </w:rPr>
        <w:t>佃</w:t>
      </w:r>
      <w:proofErr w:type="gramEnd"/>
      <w:r>
        <w:rPr>
          <w:color w:val="000000"/>
        </w:rPr>
        <w:t>锶佳</w:t>
      </w:r>
      <w:r>
        <w:rPr>
          <w:rFonts w:hint="eastAsia"/>
          <w:color w:val="000000"/>
        </w:rPr>
        <w:t>、钱琳刚</w:t>
      </w:r>
      <w:r w:rsidR="00C671B3">
        <w:rPr>
          <w:rFonts w:hint="eastAsia"/>
          <w:color w:val="000000"/>
        </w:rPr>
        <w:t>、</w:t>
      </w:r>
      <w:r w:rsidR="00C671B3">
        <w:rPr>
          <w:color w:val="000000"/>
        </w:rPr>
        <w:t>乔春楠</w:t>
      </w:r>
      <w:r>
        <w:rPr>
          <w:rFonts w:hint="eastAsia"/>
          <w:color w:val="000000"/>
        </w:rPr>
        <w:t>。</w:t>
      </w:r>
    </w:p>
    <w:p w:rsidR="003B696B" w:rsidRDefault="003B696B" w:rsidP="003B696B">
      <w:pPr>
        <w:pStyle w:val="afe"/>
        <w:ind w:firstLine="420"/>
      </w:pPr>
    </w:p>
    <w:p w:rsidR="003B696B" w:rsidRDefault="003B696B" w:rsidP="003B696B">
      <w:pPr>
        <w:pStyle w:val="afe"/>
        <w:ind w:firstLine="420"/>
        <w:sectPr w:rsidR="003B696B">
          <w:pgSz w:w="11906" w:h="16838"/>
          <w:pgMar w:top="1928" w:right="1134" w:bottom="1134" w:left="1134" w:header="1418" w:footer="1134" w:gutter="284"/>
          <w:pgNumType w:fmt="upperRoman" w:start="1"/>
          <w:cols w:space="425"/>
          <w:formProt w:val="0"/>
          <w:docGrid w:linePitch="312"/>
        </w:sectPr>
      </w:pPr>
      <w:bookmarkStart w:id="1" w:name="_GoBack"/>
      <w:bookmarkEnd w:id="1"/>
    </w:p>
    <w:bookmarkEnd w:id="0" w:displacedByCustomXml="next"/>
    <w:bookmarkStart w:id="2" w:name="NEW_STAND_NAME" w:displacedByCustomXml="next"/>
    <w:sdt>
      <w:sdtPr>
        <w:tag w:val="NEW_STAND_NAME"/>
        <w:id w:val="595910757"/>
        <w:placeholder>
          <w:docPart w:val="C56B2309B73745D7A69C022F13231987"/>
        </w:placeholder>
      </w:sdtPr>
      <w:sdtEndPr/>
      <w:sdtContent>
        <w:p w:rsidR="003B696B" w:rsidRDefault="003B696B" w:rsidP="003B696B">
          <w:pPr>
            <w:pStyle w:val="aff2"/>
            <w:spacing w:beforeLines="100" w:before="240" w:afterLines="220" w:after="528"/>
          </w:pPr>
          <w:r>
            <w:rPr>
              <w:rFonts w:hint="eastAsia"/>
            </w:rPr>
            <w:t>高温高湿地区</w:t>
          </w:r>
          <w:r>
            <w:t xml:space="preserve">  绿色食品火龙果生产操作规程</w:t>
          </w:r>
        </w:p>
      </w:sdtContent>
    </w:sdt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bookmarkStart w:id="3" w:name="_Toc24884218"/>
      <w:bookmarkStart w:id="4" w:name="_Toc26648465"/>
      <w:bookmarkStart w:id="5" w:name="_Toc26986771"/>
      <w:bookmarkStart w:id="6" w:name="_Toc97195091"/>
      <w:bookmarkStart w:id="7" w:name="_Toc17233333"/>
      <w:bookmarkStart w:id="8" w:name="_Toc17233325"/>
      <w:bookmarkStart w:id="9" w:name="_Toc26986530"/>
      <w:bookmarkStart w:id="10" w:name="_Toc24884211"/>
      <w:bookmarkStart w:id="11" w:name="_Toc26718930"/>
      <w:bookmarkEnd w:id="2"/>
      <w:r>
        <w:rPr>
          <w:rFonts w:hint="eastAsia"/>
        </w:rPr>
        <w:t>范围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bookmarkStart w:id="12" w:name="_Toc26648466"/>
      <w:bookmarkStart w:id="13" w:name="_Toc17233326"/>
      <w:bookmarkStart w:id="14" w:name="_Toc24884212"/>
      <w:bookmarkStart w:id="15" w:name="_Toc24884219"/>
      <w:bookmarkStart w:id="16" w:name="_Toc17233334"/>
      <w:r>
        <w:rPr>
          <w:rFonts w:hint="eastAsia"/>
        </w:rPr>
        <w:t>本规程规定了高温高湿地区绿色食品火龙果生产的产地环境、品种选择、建园定植、肥水管理、病虫害防治、田间管理、采收、保鲜与包装、储藏与运输、生产废弃物处理、档案管理的要求。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本规程适用于广东、广西、海南、云南西双版纳等高温高湿地区的绿色食品火龙果生产。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bookmarkStart w:id="17" w:name="_Toc97195092"/>
      <w:bookmarkStart w:id="18" w:name="_Toc26986531"/>
      <w:bookmarkStart w:id="19" w:name="_Toc26718931"/>
      <w:bookmarkStart w:id="20" w:name="_Toc26986772"/>
      <w:r>
        <w:rPr>
          <w:rFonts w:hint="eastAsia"/>
        </w:rPr>
        <w:t>规范性引用文件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3B696B" w:rsidRP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下列文件中的内容通过文中的规范性引用而构成本规程</w:t>
      </w:r>
      <w:r w:rsidRPr="003B696B">
        <w:rPr>
          <w:rFonts w:hint="eastAsia"/>
        </w:rPr>
        <w:t>必不可少的条款。其中，注日期的引用文件，仅该日期对应的版本适用于本</w:t>
      </w:r>
      <w:r>
        <w:rPr>
          <w:rFonts w:hint="eastAsia"/>
        </w:rPr>
        <w:t>规程</w:t>
      </w:r>
      <w:r w:rsidRPr="003B696B">
        <w:rPr>
          <w:rFonts w:hint="eastAsia"/>
        </w:rPr>
        <w:t>；不注日期的引用文件，其最新版本（包括所有的修改单）适用于本</w:t>
      </w:r>
      <w:r>
        <w:rPr>
          <w:rFonts w:hint="eastAsia"/>
        </w:rPr>
        <w:t>规程</w:t>
      </w:r>
      <w:r w:rsidRPr="003B696B">
        <w:rPr>
          <w:rFonts w:hint="eastAsia"/>
        </w:rPr>
        <w:t>。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GB 43284 限制商品过度包装要求 生鲜食用农产品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 xml:space="preserve">NY/T 391  绿色食品 </w:t>
      </w:r>
      <w:r>
        <w:t xml:space="preserve"> </w:t>
      </w:r>
      <w:r>
        <w:rPr>
          <w:rFonts w:hint="eastAsia"/>
        </w:rPr>
        <w:t>产地环境质量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 xml:space="preserve">NY/T 393  绿色食品 </w:t>
      </w:r>
      <w:r>
        <w:t xml:space="preserve"> </w:t>
      </w:r>
      <w:r>
        <w:rPr>
          <w:rFonts w:hint="eastAsia"/>
        </w:rPr>
        <w:t>农药使用准则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NY/T 394  绿色食品</w:t>
      </w:r>
      <w:r>
        <w:t xml:space="preserve">  </w:t>
      </w:r>
      <w:r>
        <w:rPr>
          <w:rFonts w:hint="eastAsia"/>
        </w:rPr>
        <w:t>肥料使用准则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NY/T 658  绿色食品  包装通用准则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NY/T 1056  绿色食品  储藏运输准则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NY/T 3601</w:t>
      </w:r>
      <w:r>
        <w:t xml:space="preserve"> </w:t>
      </w:r>
      <w:r>
        <w:rPr>
          <w:rFonts w:hint="eastAsia"/>
        </w:rPr>
        <w:t xml:space="preserve"> 火龙果等级规程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 xml:space="preserve">NY/T 3911 </w:t>
      </w:r>
      <w:r>
        <w:t xml:space="preserve"> </w:t>
      </w:r>
      <w:r>
        <w:rPr>
          <w:rFonts w:hint="eastAsia"/>
        </w:rPr>
        <w:t>火龙果采收贮运技术规范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 xml:space="preserve">NY/T 4233 </w:t>
      </w:r>
      <w:r>
        <w:t xml:space="preserve"> </w:t>
      </w:r>
      <w:r>
        <w:rPr>
          <w:rFonts w:hint="eastAsia"/>
        </w:rPr>
        <w:t xml:space="preserve">火龙果 </w:t>
      </w:r>
      <w:r>
        <w:t xml:space="preserve"> </w:t>
      </w:r>
      <w:r>
        <w:rPr>
          <w:rFonts w:hint="eastAsia"/>
        </w:rPr>
        <w:t>种苗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bookmarkStart w:id="21" w:name="_Toc97195093"/>
      <w:r>
        <w:rPr>
          <w:rFonts w:hint="eastAsia"/>
          <w:szCs w:val="21"/>
        </w:rPr>
        <w:t>术语和定义</w:t>
      </w:r>
      <w:bookmarkEnd w:id="21"/>
    </w:p>
    <w:bookmarkStart w:id="22" w:name="_Toc26986532" w:displacedByCustomXml="next"/>
    <w:bookmarkEnd w:id="22" w:displacedByCustomXml="next"/>
    <w:sdt>
      <w:sdtPr>
        <w:id w:val="-1909835108"/>
        <w:placeholder>
          <w:docPart w:val="756BA2B6E5B54A29BD2FF3EB2FE15631"/>
        </w:placeholder>
        <w:comboBox>
          <w:listItem w:displayText="请选择适当的引导语" w:value="请选择适当的引导语"/>
          <w:listItem w:displayText="下列术语和定义适用于本文件。" w:value="下列术语和定义适用于本文件。"/>
          <w:listItem w:displayText="……界定的术语和定义适用于本文件。" w:value="……界定的术语和定义适用于本文件。"/>
          <w:listItem w:displayText="……界定的以及下列术语和定义适用于本文件。" w:value="……界定的以及下列术语和定义适用于本文件。"/>
          <w:listItem w:displayText="本文件没有需要界定的术语和定义。" w:value="本文件没有需要界定的术语和定义。"/>
        </w:comboBox>
      </w:sdtPr>
      <w:sdtEndPr/>
      <w:sdtContent>
        <w:p w:rsidR="003B696B" w:rsidRDefault="003B696B" w:rsidP="00157C6D">
          <w:pPr>
            <w:pStyle w:val="afe"/>
            <w:adjustRightInd w:val="0"/>
            <w:snapToGrid w:val="0"/>
            <w:spacing w:line="360" w:lineRule="auto"/>
            <w:ind w:firstLine="420"/>
          </w:pPr>
          <w:r>
            <w:t>下列术语和定义适用于本文件。</w:t>
          </w:r>
        </w:p>
      </w:sdtContent>
    </w:sdt>
    <w:p w:rsidR="003B696B" w:rsidRDefault="003B696B" w:rsidP="00157C6D">
      <w:pPr>
        <w:pStyle w:val="aff3"/>
        <w:adjustRightInd w:val="0"/>
        <w:snapToGrid w:val="0"/>
        <w:spacing w:line="360" w:lineRule="auto"/>
        <w:ind w:left="420" w:hangingChars="200" w:hanging="420"/>
        <w:rPr>
          <w:rFonts w:ascii="黑体" w:eastAsia="黑体" w:hAnsi="黑体"/>
        </w:rPr>
      </w:pPr>
      <w:r>
        <w:rPr>
          <w:rFonts w:ascii="黑体" w:eastAsia="黑体" w:hAnsi="黑体"/>
        </w:rPr>
        <w:br/>
      </w:r>
      <w:proofErr w:type="gramStart"/>
      <w:r>
        <w:rPr>
          <w:rFonts w:ascii="黑体" w:eastAsia="黑体" w:hAnsi="黑体" w:hint="eastAsia"/>
        </w:rPr>
        <w:t>结果茬次</w:t>
      </w:r>
      <w:proofErr w:type="gramEnd"/>
      <w:r>
        <w:rPr>
          <w:rFonts w:ascii="黑体" w:eastAsia="黑体" w:hAnsi="黑体" w:hint="eastAsia"/>
        </w:rPr>
        <w:t xml:space="preserve">  fruiting cycle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俗称“造次”，指火龙果于同一结果枝从现蕾到开花再到成熟采收，包括“现蕾期-开花期-成熟期”共四个发育</w:t>
      </w:r>
      <w:proofErr w:type="gramStart"/>
      <w:r>
        <w:rPr>
          <w:rFonts w:hint="eastAsia"/>
        </w:rPr>
        <w:t>小阶段</w:t>
      </w:r>
      <w:proofErr w:type="gramEnd"/>
      <w:r>
        <w:rPr>
          <w:rFonts w:hint="eastAsia"/>
        </w:rPr>
        <w:t>的一个完整花果发育期。</w:t>
      </w:r>
    </w:p>
    <w:p w:rsidR="003B696B" w:rsidRDefault="003B696B" w:rsidP="00157C6D">
      <w:pPr>
        <w:pStyle w:val="aff3"/>
        <w:adjustRightInd w:val="0"/>
        <w:snapToGrid w:val="0"/>
        <w:spacing w:line="360" w:lineRule="auto"/>
        <w:ind w:left="420" w:hangingChars="200" w:hanging="420"/>
        <w:rPr>
          <w:rFonts w:ascii="黑体" w:eastAsia="黑体" w:hAnsi="黑体"/>
        </w:rPr>
      </w:pPr>
      <w:r>
        <w:rPr>
          <w:rFonts w:ascii="黑体" w:eastAsia="黑体" w:hAnsi="黑体"/>
        </w:rPr>
        <w:br/>
      </w:r>
      <w:r>
        <w:rPr>
          <w:rFonts w:ascii="黑体" w:eastAsia="黑体" w:hAnsi="黑体" w:hint="eastAsia"/>
        </w:rPr>
        <w:t>结果批次  fruiting batch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于火龙果同一植株的不同结果枝上，在相同或相近日期（通常是5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d～7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d）内，相对同步出现的抽蕾、开花、结果和成熟的现象。</w:t>
      </w:r>
    </w:p>
    <w:p w:rsidR="003B696B" w:rsidRDefault="003B696B" w:rsidP="00157C6D">
      <w:pPr>
        <w:pStyle w:val="aff3"/>
        <w:adjustRightInd w:val="0"/>
        <w:snapToGrid w:val="0"/>
        <w:spacing w:line="360" w:lineRule="auto"/>
        <w:ind w:left="420" w:hangingChars="200" w:hanging="420"/>
        <w:rPr>
          <w:rFonts w:ascii="黑体" w:eastAsia="黑体" w:hAnsi="黑体"/>
        </w:rPr>
      </w:pPr>
      <w:r>
        <w:rPr>
          <w:rFonts w:ascii="黑体" w:eastAsia="黑体" w:hAnsi="黑体"/>
        </w:rPr>
        <w:br/>
      </w:r>
      <w:r>
        <w:rPr>
          <w:rFonts w:ascii="黑体" w:eastAsia="黑体" w:hAnsi="黑体" w:hint="eastAsia"/>
        </w:rPr>
        <w:t>标准树形  standard  plant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lastRenderedPageBreak/>
        <w:t>按照某种特定结构的标准树形培养的植株，常见的“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蔓N枝”树型是1个</w:t>
      </w:r>
      <w:proofErr w:type="gramStart"/>
      <w:r>
        <w:rPr>
          <w:rFonts w:hint="eastAsia"/>
        </w:rPr>
        <w:t>主蔓加8～12个</w:t>
      </w:r>
      <w:proofErr w:type="gramEnd"/>
      <w:r>
        <w:rPr>
          <w:rFonts w:hint="eastAsia"/>
        </w:rPr>
        <w:t>二级分枝，</w:t>
      </w:r>
      <w:proofErr w:type="gramStart"/>
      <w:r>
        <w:rPr>
          <w:rFonts w:hint="eastAsia"/>
        </w:rPr>
        <w:t>主蔓和结果枝</w:t>
      </w:r>
      <w:proofErr w:type="gramEnd"/>
      <w:r>
        <w:rPr>
          <w:rFonts w:hint="eastAsia"/>
        </w:rPr>
        <w:t>的长度、粗度、日龄、空间分布及生长状态等具有具体的控制参数标准。</w:t>
      </w:r>
    </w:p>
    <w:p w:rsidR="003B696B" w:rsidRDefault="003B696B" w:rsidP="00157C6D">
      <w:pPr>
        <w:pStyle w:val="aff3"/>
        <w:adjustRightInd w:val="0"/>
        <w:snapToGrid w:val="0"/>
        <w:spacing w:line="360" w:lineRule="auto"/>
        <w:ind w:left="420" w:hangingChars="200" w:hanging="420"/>
        <w:rPr>
          <w:rFonts w:ascii="黑体" w:eastAsia="黑体" w:hAnsi="黑体"/>
        </w:rPr>
      </w:pPr>
      <w:r>
        <w:rPr>
          <w:rFonts w:ascii="黑体" w:eastAsia="黑体" w:hAnsi="黑体"/>
        </w:rPr>
        <w:br/>
      </w:r>
      <w:r>
        <w:rPr>
          <w:rFonts w:ascii="黑体" w:eastAsia="黑体" w:hAnsi="黑体" w:hint="eastAsia"/>
        </w:rPr>
        <w:t>高温高湿地区  High temperature and high humidity area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指年平均气温≥19</w:t>
      </w:r>
      <w:r>
        <w:rPr>
          <w:vertAlign w:val="superscript"/>
        </w:rPr>
        <w:t xml:space="preserve"> </w:t>
      </w:r>
      <w:r>
        <w:rPr>
          <w:rFonts w:hint="eastAsia"/>
        </w:rPr>
        <w:t>℃，日均气温≥10</w:t>
      </w:r>
      <w:r>
        <w:rPr>
          <w:vertAlign w:val="superscript"/>
        </w:rPr>
        <w:t xml:space="preserve"> </w:t>
      </w:r>
      <w:r>
        <w:rPr>
          <w:rFonts w:hint="eastAsia"/>
        </w:rPr>
        <w:t>℃的累计积温为≥7</w:t>
      </w:r>
      <w:r>
        <w:rPr>
          <w:vertAlign w:val="superscript"/>
        </w:rPr>
        <w:t xml:space="preserve"> </w:t>
      </w:r>
      <w:r>
        <w:rPr>
          <w:rFonts w:hint="eastAsia"/>
        </w:rPr>
        <w:t>000</w:t>
      </w:r>
      <w:r>
        <w:rPr>
          <w:vertAlign w:val="superscript"/>
        </w:rPr>
        <w:t xml:space="preserve"> </w:t>
      </w:r>
      <w:r>
        <w:rPr>
          <w:rFonts w:hint="eastAsia"/>
        </w:rPr>
        <w:t>℃，年降水量≥1</w:t>
      </w:r>
      <w:r>
        <w:rPr>
          <w:vertAlign w:val="superscript"/>
        </w:rPr>
        <w:t xml:space="preserve"> </w:t>
      </w:r>
      <w:r>
        <w:rPr>
          <w:rFonts w:hint="eastAsia"/>
        </w:rPr>
        <w:t>000</w:t>
      </w:r>
      <w:r>
        <w:rPr>
          <w:vertAlign w:val="superscript"/>
        </w:rPr>
        <w:t xml:space="preserve"> </w:t>
      </w:r>
      <w:r>
        <w:rPr>
          <w:rFonts w:hint="eastAsia"/>
        </w:rPr>
        <w:t>mm的地区。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产地环境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应符合NY/T 391的规定。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品种选择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选择原则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据不同产区的条件，优先选择适合本产区生长的适应性、抗逆性强的品种。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选择品种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推荐品种：大红1号、金都1号、桂红龙1号、红冠1号、蜜红、</w:t>
      </w:r>
      <w:proofErr w:type="gramStart"/>
      <w:r>
        <w:rPr>
          <w:rFonts w:hint="eastAsia"/>
        </w:rPr>
        <w:t>莞</w:t>
      </w:r>
      <w:proofErr w:type="gramEnd"/>
      <w:r>
        <w:rPr>
          <w:rFonts w:hint="eastAsia"/>
        </w:rPr>
        <w:t>华红、</w:t>
      </w:r>
      <w:proofErr w:type="gramStart"/>
      <w:r>
        <w:rPr>
          <w:rFonts w:hint="eastAsia"/>
        </w:rPr>
        <w:t>莞</w:t>
      </w:r>
      <w:proofErr w:type="gramEnd"/>
      <w:r>
        <w:rPr>
          <w:rFonts w:hint="eastAsia"/>
        </w:rPr>
        <w:t>华白、双色1号、玉龙1号、燕窝果等。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建园定植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园地条件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土质疏松，土层厚</w:t>
      </w:r>
      <w:r>
        <w:t>60</w:t>
      </w:r>
      <w:r>
        <w:rPr>
          <w:vertAlign w:val="superscript"/>
        </w:rPr>
        <w:t xml:space="preserve"> </w:t>
      </w:r>
      <w:r>
        <w:t>cm</w:t>
      </w:r>
      <w:r>
        <w:rPr>
          <w:rFonts w:hint="eastAsia"/>
        </w:rPr>
        <w:t>以上，地下水位低于</w:t>
      </w:r>
      <w:r>
        <w:t>60</w:t>
      </w:r>
      <w:r>
        <w:rPr>
          <w:vertAlign w:val="superscript"/>
        </w:rPr>
        <w:t xml:space="preserve"> </w:t>
      </w:r>
      <w:r>
        <w:t>cm</w:t>
      </w:r>
      <w:r>
        <w:rPr>
          <w:rFonts w:hint="eastAsia"/>
        </w:rPr>
        <w:t>，有机质含量</w:t>
      </w:r>
      <w:r>
        <w:t>2</w:t>
      </w:r>
      <w:r>
        <w:rPr>
          <w:rFonts w:hint="eastAsia"/>
        </w:rPr>
        <w:t>％以上，酸碱度在</w:t>
      </w:r>
      <w:r>
        <w:t>pH5.5</w:t>
      </w:r>
      <w:r>
        <w:rPr>
          <w:rFonts w:hint="eastAsia"/>
        </w:rPr>
        <w:t>～</w:t>
      </w:r>
      <w:r>
        <w:t>7.0</w:t>
      </w:r>
      <w:r>
        <w:rPr>
          <w:rFonts w:hint="eastAsia"/>
        </w:rPr>
        <w:t>之间，地下水位低于</w:t>
      </w:r>
      <w:r>
        <w:t>70</w:t>
      </w:r>
      <w:r>
        <w:rPr>
          <w:vertAlign w:val="superscript"/>
        </w:rPr>
        <w:t xml:space="preserve"> </w:t>
      </w:r>
      <w:r>
        <w:t>cm</w:t>
      </w:r>
      <w:r>
        <w:rPr>
          <w:rFonts w:hint="eastAsia"/>
        </w:rPr>
        <w:t>，排灌良好。年平均温度</w:t>
      </w:r>
      <w:r>
        <w:t>19</w:t>
      </w:r>
      <w:r>
        <w:rPr>
          <w:vertAlign w:val="superscript"/>
        </w:rPr>
        <w:t xml:space="preserve"> </w:t>
      </w:r>
      <w:r>
        <w:rPr>
          <w:rFonts w:hint="eastAsia"/>
        </w:rPr>
        <w:t>℃～</w:t>
      </w:r>
      <w:r>
        <w:t>22</w:t>
      </w:r>
      <w:r>
        <w:rPr>
          <w:vertAlign w:val="superscript"/>
        </w:rPr>
        <w:t xml:space="preserve"> </w:t>
      </w:r>
      <w:r>
        <w:rPr>
          <w:rFonts w:hint="eastAsia"/>
        </w:rPr>
        <w:t>℃，无霜期＞</w:t>
      </w:r>
      <w:r>
        <w:t>325</w:t>
      </w:r>
      <w:r>
        <w:rPr>
          <w:vertAlign w:val="superscript"/>
        </w:rPr>
        <w:t xml:space="preserve"> </w:t>
      </w:r>
      <w:r>
        <w:t>d</w:t>
      </w:r>
      <w:r>
        <w:rPr>
          <w:rFonts w:hint="eastAsia"/>
        </w:rPr>
        <w:t>，绝对低温＞</w:t>
      </w:r>
      <w:r>
        <w:t>0</w:t>
      </w:r>
      <w:r>
        <w:rPr>
          <w:vertAlign w:val="superscript"/>
        </w:rPr>
        <w:t xml:space="preserve"> </w:t>
      </w:r>
      <w:r>
        <w:rPr>
          <w:rFonts w:hint="eastAsia"/>
        </w:rPr>
        <w:t>℃，最冷月平均气温</w:t>
      </w:r>
      <w:r>
        <w:t>12</w:t>
      </w:r>
      <w:r>
        <w:rPr>
          <w:vertAlign w:val="superscript"/>
        </w:rPr>
        <w:t xml:space="preserve"> </w:t>
      </w:r>
      <w:r>
        <w:rPr>
          <w:rFonts w:hint="eastAsia"/>
        </w:rPr>
        <w:t>℃以上，</w:t>
      </w:r>
      <w:r>
        <w:t>10</w:t>
      </w:r>
      <w:r>
        <w:rPr>
          <w:vertAlign w:val="superscript"/>
        </w:rPr>
        <w:t xml:space="preserve"> </w:t>
      </w:r>
      <w:r>
        <w:rPr>
          <w:rFonts w:hint="eastAsia"/>
        </w:rPr>
        <w:t>℃以上年积温≥</w:t>
      </w:r>
      <w:r>
        <w:t>6</w:t>
      </w:r>
      <w:r>
        <w:rPr>
          <w:vertAlign w:val="superscript"/>
        </w:rPr>
        <w:t xml:space="preserve"> </w:t>
      </w:r>
      <w:r>
        <w:t>500</w:t>
      </w:r>
      <w:r>
        <w:rPr>
          <w:vertAlign w:val="superscript"/>
        </w:rPr>
        <w:t xml:space="preserve"> </w:t>
      </w:r>
      <w:r>
        <w:rPr>
          <w:rFonts w:hint="eastAsia"/>
        </w:rPr>
        <w:t>℃。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园地规划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坡度≤6°的平地起畦；6°≤坡度≤30°的山地丘陵地块应修筑水平梯田。园地内设置种植小区，修建道路。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土壤改良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  <w:rPr>
          <w:color w:val="000000"/>
        </w:rPr>
      </w:pPr>
      <w:r>
        <w:rPr>
          <w:rFonts w:hint="eastAsia"/>
          <w:color w:val="000000"/>
        </w:rPr>
        <w:t>土壤清表后全园翻耕，深度≥50</w:t>
      </w:r>
      <w:r>
        <w:rPr>
          <w:rFonts w:hint="eastAsia"/>
          <w:color w:val="000000"/>
          <w:vertAlign w:val="superscript"/>
        </w:rPr>
        <w:t xml:space="preserve"> </w:t>
      </w:r>
      <w:r>
        <w:rPr>
          <w:rFonts w:hint="eastAsia"/>
          <w:color w:val="000000"/>
        </w:rPr>
        <w:t>cm。</w:t>
      </w:r>
      <w:r>
        <w:rPr>
          <w:color w:val="000000"/>
        </w:rPr>
        <w:t>每亩施入</w:t>
      </w:r>
      <w:r>
        <w:rPr>
          <w:rFonts w:hint="eastAsia"/>
          <w:color w:val="000000"/>
        </w:rPr>
        <w:t>粉碎</w:t>
      </w:r>
      <w:r>
        <w:rPr>
          <w:color w:val="000000"/>
        </w:rPr>
        <w:t>秸秆</w:t>
      </w:r>
      <w:r>
        <w:rPr>
          <w:rFonts w:hint="eastAsia"/>
          <w:color w:val="000000"/>
        </w:rPr>
        <w:t>或其他</w:t>
      </w:r>
      <w:proofErr w:type="gramStart"/>
      <w:r>
        <w:rPr>
          <w:rFonts w:hint="eastAsia"/>
          <w:color w:val="000000"/>
        </w:rPr>
        <w:t>有机</w:t>
      </w:r>
      <w:r>
        <w:rPr>
          <w:color w:val="000000"/>
        </w:rPr>
        <w:t>干</w:t>
      </w:r>
      <w:r>
        <w:rPr>
          <w:rFonts w:hint="eastAsia"/>
          <w:color w:val="000000"/>
        </w:rPr>
        <w:t>屑</w:t>
      </w:r>
      <w:proofErr w:type="gramEnd"/>
      <w:r>
        <w:rPr>
          <w:color w:val="000000"/>
        </w:rPr>
        <w:t>2000  kg、腐熟有机肥2000 kg</w:t>
      </w:r>
      <w:r>
        <w:rPr>
          <w:rFonts w:hint="eastAsia"/>
          <w:color w:val="000000"/>
        </w:rPr>
        <w:t>、钙镁磷肥</w:t>
      </w:r>
      <w:r>
        <w:rPr>
          <w:color w:val="000000"/>
        </w:rPr>
        <w:t>200 kg</w:t>
      </w:r>
      <w:r>
        <w:rPr>
          <w:rFonts w:hint="eastAsia"/>
          <w:color w:val="000000"/>
        </w:rPr>
        <w:t>、</w:t>
      </w:r>
      <w:r>
        <w:rPr>
          <w:color w:val="000000"/>
        </w:rPr>
        <w:t>石灰氮40 kg~80 kg，用旋耕机翻耕与土混匀并整平。在土壤表面覆盖地膜，沟内灌水，直至膜内湿透并有积水，</w:t>
      </w:r>
      <w:proofErr w:type="gramStart"/>
      <w:r>
        <w:rPr>
          <w:color w:val="000000"/>
        </w:rPr>
        <w:t>闷土期间</w:t>
      </w:r>
      <w:proofErr w:type="gramEnd"/>
      <w:r>
        <w:rPr>
          <w:color w:val="000000"/>
        </w:rPr>
        <w:t>如土壤缺水可再灌1次。密闭</w:t>
      </w:r>
      <w:r>
        <w:rPr>
          <w:rFonts w:hint="eastAsia"/>
          <w:color w:val="000000"/>
        </w:rPr>
        <w:t>薄膜</w:t>
      </w:r>
      <w:r>
        <w:rPr>
          <w:color w:val="000000"/>
        </w:rPr>
        <w:t>，利用日光照射使</w:t>
      </w:r>
      <w:r>
        <w:rPr>
          <w:rFonts w:hint="eastAsia"/>
          <w:color w:val="000000"/>
        </w:rPr>
        <w:t>薄膜</w:t>
      </w:r>
      <w:r>
        <w:rPr>
          <w:color w:val="000000"/>
        </w:rPr>
        <w:t>内迅速升温（地表温度可达70</w:t>
      </w:r>
      <w:r>
        <w:rPr>
          <w:rFonts w:hint="eastAsia"/>
          <w:color w:val="000000"/>
          <w:vertAlign w:val="superscript"/>
        </w:rPr>
        <w:t xml:space="preserve"> </w:t>
      </w:r>
      <w:r>
        <w:rPr>
          <w:color w:val="000000"/>
        </w:rPr>
        <w:t>℃</w:t>
      </w:r>
      <w:r>
        <w:rPr>
          <w:color w:val="000000"/>
        </w:rPr>
        <w:t>），持续20天以上。</w:t>
      </w:r>
      <w:proofErr w:type="gramStart"/>
      <w:r>
        <w:rPr>
          <w:color w:val="000000"/>
        </w:rPr>
        <w:t>闷</w:t>
      </w:r>
      <w:r>
        <w:rPr>
          <w:rFonts w:hint="eastAsia"/>
          <w:color w:val="000000"/>
        </w:rPr>
        <w:t>土</w:t>
      </w:r>
      <w:r>
        <w:rPr>
          <w:color w:val="000000"/>
        </w:rPr>
        <w:t>结束</w:t>
      </w:r>
      <w:proofErr w:type="gramEnd"/>
      <w:r>
        <w:rPr>
          <w:color w:val="000000"/>
        </w:rPr>
        <w:t>后揭膜通风5</w:t>
      </w:r>
      <w:r>
        <w:rPr>
          <w:color w:val="000000"/>
          <w:vertAlign w:val="superscript"/>
          <w:lang w:val="en"/>
        </w:rPr>
        <w:t xml:space="preserve"> </w:t>
      </w:r>
      <w:r>
        <w:rPr>
          <w:color w:val="000000"/>
          <w:lang w:val="en"/>
        </w:rPr>
        <w:t>d</w:t>
      </w:r>
      <w:r>
        <w:rPr>
          <w:rFonts w:ascii="Times New Roman"/>
          <w:color w:val="000000"/>
        </w:rPr>
        <w:t>~</w:t>
      </w:r>
      <w:r>
        <w:rPr>
          <w:color w:val="000000"/>
        </w:rPr>
        <w:t>7</w:t>
      </w:r>
      <w:r>
        <w:rPr>
          <w:color w:val="000000"/>
          <w:vertAlign w:val="superscript"/>
          <w:lang w:val="en"/>
        </w:rPr>
        <w:t xml:space="preserve"> </w:t>
      </w:r>
      <w:r>
        <w:rPr>
          <w:color w:val="000000"/>
          <w:lang w:val="en"/>
        </w:rPr>
        <w:t>d</w:t>
      </w:r>
      <w:r>
        <w:rPr>
          <w:color w:val="000000"/>
        </w:rPr>
        <w:t>，施入生物菌肥等肥料，浅耕翻、整地、做畦。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栽培架式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采用联</w:t>
      </w:r>
      <w:proofErr w:type="gramStart"/>
      <w:r>
        <w:rPr>
          <w:rFonts w:hint="eastAsia"/>
        </w:rPr>
        <w:t>排式架或</w:t>
      </w:r>
      <w:proofErr w:type="gramEnd"/>
      <w:r>
        <w:rPr>
          <w:rFonts w:hint="eastAsia"/>
        </w:rPr>
        <w:t>单柱式架。栽培架顶部连杆（线）的高度</w:t>
      </w:r>
      <w:proofErr w:type="gramStart"/>
      <w:r>
        <w:rPr>
          <w:rFonts w:hint="eastAsia"/>
        </w:rPr>
        <w:t>与畦面相距</w:t>
      </w:r>
      <w:proofErr w:type="gramEnd"/>
      <w:r>
        <w:rPr>
          <w:rFonts w:hint="eastAsia"/>
        </w:rPr>
        <w:t>120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cm～130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cm，畦沟深度（</w:t>
      </w:r>
      <w:proofErr w:type="gramStart"/>
      <w:r>
        <w:rPr>
          <w:rFonts w:hint="eastAsia"/>
        </w:rPr>
        <w:t>畦面与沟低</w:t>
      </w:r>
      <w:proofErr w:type="gramEnd"/>
      <w:r>
        <w:rPr>
          <w:rFonts w:hint="eastAsia"/>
        </w:rPr>
        <w:t>的落差）宜为25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cm～35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配套栽培条件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lastRenderedPageBreak/>
        <w:t>沿定植行方向于植株两侧铺设1～2条滴灌带，水肥一体化；宜于植株上方80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cm～100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cm处挂设喷管和喷头；于植株上方或者行间约100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cm高度处每隔150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cm～200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cm悬挂一盏</w:t>
      </w:r>
      <w:proofErr w:type="gramStart"/>
      <w:r>
        <w:rPr>
          <w:rFonts w:hint="eastAsia"/>
        </w:rPr>
        <w:t>火龙果催花</w:t>
      </w:r>
      <w:proofErr w:type="gramEnd"/>
      <w:r>
        <w:rPr>
          <w:rFonts w:hint="eastAsia"/>
        </w:rPr>
        <w:t>专用补光灯（功率12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W～15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W，峰值波长λp范围为630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nm～660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nm，主波长λ范围为520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nm～580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nm。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种苗选择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种苗质量应符合</w:t>
      </w:r>
      <w:r>
        <w:t>NY/T 4233的</w:t>
      </w:r>
      <w:r>
        <w:rPr>
          <w:rFonts w:hint="eastAsia"/>
        </w:rPr>
        <w:t>要求。宜选择品种纯度高、健壮、根系发达和长势一致的无病健康苗。扦插苗母</w:t>
      </w:r>
      <w:proofErr w:type="gramStart"/>
      <w:r>
        <w:rPr>
          <w:rFonts w:hint="eastAsia"/>
        </w:rPr>
        <w:t>茎</w:t>
      </w:r>
      <w:proofErr w:type="gramEnd"/>
      <w:r>
        <w:rPr>
          <w:rFonts w:hint="eastAsia"/>
        </w:rPr>
        <w:t>选择无病虫害的火龙果园中长度≥</w:t>
      </w:r>
      <w:r>
        <w:t>50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的健壮一年生枝条，嫁接</w:t>
      </w:r>
      <w:proofErr w:type="gramStart"/>
      <w:r>
        <w:rPr>
          <w:rFonts w:hint="eastAsia"/>
        </w:rPr>
        <w:t>苗选择</w:t>
      </w:r>
      <w:proofErr w:type="gramEnd"/>
      <w:r>
        <w:rPr>
          <w:rFonts w:hint="eastAsia"/>
        </w:rPr>
        <w:t>嫁接口愈合良好，砧木健壮，接穗新芽生长势强的苗木。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种植时间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根据不同产区的气候特点及生产需要，选择3～5月春植或9～11月秋植。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种植方式、规格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平地宜选择联排式架，实行单行种植。行距</w:t>
      </w:r>
      <w:r>
        <w:t>275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～</w:t>
      </w:r>
      <w:r>
        <w:t>325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，</w:t>
      </w:r>
      <w:proofErr w:type="gramStart"/>
      <w:r>
        <w:rPr>
          <w:rFonts w:hint="eastAsia"/>
        </w:rPr>
        <w:t>畦宽</w:t>
      </w:r>
      <w:proofErr w:type="gramEnd"/>
      <w:r>
        <w:t>120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～</w:t>
      </w:r>
      <w:r>
        <w:t>140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，沟深</w:t>
      </w:r>
      <w:r>
        <w:t>30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～</w:t>
      </w:r>
      <w:r>
        <w:t>40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、宽</w:t>
      </w:r>
      <w:r>
        <w:t>140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～</w:t>
      </w:r>
      <w:r>
        <w:t>200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。苗木株距</w:t>
      </w:r>
      <w:r>
        <w:t>20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～</w:t>
      </w:r>
      <w:r>
        <w:t>33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，密度为</w:t>
      </w:r>
      <w:r>
        <w:t>615</w:t>
      </w:r>
      <w:r>
        <w:rPr>
          <w:rFonts w:hint="eastAsia"/>
        </w:rPr>
        <w:t>～</w:t>
      </w:r>
      <w:r>
        <w:t>1</w:t>
      </w:r>
      <w:r>
        <w:rPr>
          <w:rFonts w:hint="eastAsia"/>
          <w:vertAlign w:val="superscript"/>
        </w:rPr>
        <w:t xml:space="preserve"> </w:t>
      </w:r>
      <w:r>
        <w:t>210</w:t>
      </w:r>
      <w:r>
        <w:rPr>
          <w:rFonts w:hint="eastAsia"/>
        </w:rPr>
        <w:t>株</w:t>
      </w:r>
      <w:r>
        <w:t>/</w:t>
      </w:r>
      <w:r>
        <w:rPr>
          <w:rFonts w:hint="eastAsia"/>
        </w:rPr>
        <w:t>亩。坡地宜选择单柱式架，行距</w:t>
      </w:r>
      <w:r>
        <w:t>275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～</w:t>
      </w:r>
      <w:r>
        <w:t>300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，</w:t>
      </w:r>
      <w:proofErr w:type="gramStart"/>
      <w:r>
        <w:rPr>
          <w:rFonts w:hint="eastAsia"/>
        </w:rPr>
        <w:t>柱距</w:t>
      </w:r>
      <w:proofErr w:type="gramEnd"/>
      <w:r>
        <w:t>200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～</w:t>
      </w:r>
      <w:r>
        <w:t>250</w:t>
      </w:r>
      <w:r>
        <w:rPr>
          <w:rFonts w:hint="eastAsia"/>
          <w:vertAlign w:val="superscript"/>
        </w:rPr>
        <w:t xml:space="preserve"> </w:t>
      </w:r>
      <w:r>
        <w:t>cm</w:t>
      </w:r>
      <w:r>
        <w:rPr>
          <w:rFonts w:hint="eastAsia"/>
        </w:rPr>
        <w:t>，苗木种植于柱子四周，</w:t>
      </w:r>
      <w:proofErr w:type="gramStart"/>
      <w:r>
        <w:rPr>
          <w:rFonts w:hint="eastAsia"/>
        </w:rPr>
        <w:t>每柱种</w:t>
      </w:r>
      <w:r>
        <w:t>4</w:t>
      </w:r>
      <w:r>
        <w:rPr>
          <w:rFonts w:hint="eastAsia"/>
        </w:rPr>
        <w:t>～</w:t>
      </w:r>
      <w:r>
        <w:t>8</w:t>
      </w:r>
      <w:r>
        <w:rPr>
          <w:rFonts w:hint="eastAsia"/>
        </w:rPr>
        <w:t>株</w:t>
      </w:r>
      <w:proofErr w:type="gramEnd"/>
      <w:r>
        <w:rPr>
          <w:rFonts w:hint="eastAsia"/>
        </w:rPr>
        <w:t>，密度为</w:t>
      </w:r>
      <w:r>
        <w:t>356</w:t>
      </w:r>
      <w:r>
        <w:rPr>
          <w:rFonts w:hint="eastAsia"/>
        </w:rPr>
        <w:t>～</w:t>
      </w:r>
      <w:r>
        <w:t>968</w:t>
      </w:r>
      <w:r>
        <w:rPr>
          <w:rFonts w:hint="eastAsia"/>
        </w:rPr>
        <w:t>株</w:t>
      </w:r>
      <w:r>
        <w:t>/</w:t>
      </w:r>
      <w:r>
        <w:rPr>
          <w:rFonts w:hint="eastAsia"/>
        </w:rPr>
        <w:t>亩。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定植方法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种植覆土宜浅，根颈部或茎基部入土深度3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cm，</w:t>
      </w:r>
      <w:proofErr w:type="gramStart"/>
      <w:r>
        <w:rPr>
          <w:rFonts w:hint="eastAsia"/>
        </w:rPr>
        <w:t>植后及时浇足定根</w:t>
      </w:r>
      <w:proofErr w:type="gramEnd"/>
      <w:r>
        <w:rPr>
          <w:rFonts w:hint="eastAsia"/>
        </w:rPr>
        <w:t>水。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肥水管理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  <w:jc w:val="left"/>
      </w:pPr>
      <w:r>
        <w:rPr>
          <w:rFonts w:hint="eastAsia"/>
        </w:rPr>
        <w:t>施肥管理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应遵循土壤健康、化肥减控，合理增施有机肥、补充中微量养分、安全优质、生态绿色的原则，肥料使用应符合NY/T 394的规定。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幼年树追肥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幼树全年追肥氮磷钾比例为</w:t>
      </w:r>
      <w:r>
        <w:t>1</w:t>
      </w:r>
      <w:r>
        <w:rPr>
          <w:rFonts w:hint="eastAsia"/>
        </w:rPr>
        <w:t>：</w:t>
      </w:r>
      <w:r>
        <w:t>0</w:t>
      </w:r>
      <w:r>
        <w:rPr>
          <w:rFonts w:hint="eastAsia"/>
        </w:rPr>
        <w:t>：</w:t>
      </w:r>
      <w:r>
        <w:t>2.5</w:t>
      </w:r>
      <w:r>
        <w:rPr>
          <w:rFonts w:hint="eastAsia"/>
        </w:rPr>
        <w:t>。每亩的年施肥量为纯氮（</w:t>
      </w:r>
      <w:r>
        <w:t>N</w:t>
      </w:r>
      <w:r>
        <w:rPr>
          <w:rFonts w:hint="eastAsia"/>
        </w:rPr>
        <w:t>）</w:t>
      </w:r>
      <w:r>
        <w:t>10.0</w:t>
      </w:r>
      <w:r>
        <w:rPr>
          <w:vertAlign w:val="superscript"/>
        </w:rPr>
        <w:t xml:space="preserve"> </w:t>
      </w:r>
      <w:r>
        <w:t>kg</w:t>
      </w:r>
      <w:r>
        <w:rPr>
          <w:rFonts w:hint="eastAsia"/>
        </w:rPr>
        <w:t>、五氧化二磷（</w:t>
      </w:r>
      <w:r>
        <w:t>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rPr>
          <w:rFonts w:hint="eastAsia"/>
        </w:rPr>
        <w:t>）</w:t>
      </w:r>
      <w:r>
        <w:t>0</w:t>
      </w:r>
      <w:r>
        <w:rPr>
          <w:vertAlign w:val="superscript"/>
        </w:rPr>
        <w:t xml:space="preserve"> </w:t>
      </w:r>
      <w:r>
        <w:t>kg</w:t>
      </w:r>
      <w:r>
        <w:rPr>
          <w:rFonts w:hint="eastAsia"/>
        </w:rPr>
        <w:t>、氧化钾（</w:t>
      </w:r>
      <w:r>
        <w:t>K</w:t>
      </w:r>
      <w:r>
        <w:rPr>
          <w:vertAlign w:val="subscript"/>
        </w:rPr>
        <w:t>2</w:t>
      </w:r>
      <w:r>
        <w:t>O</w:t>
      </w:r>
      <w:r>
        <w:rPr>
          <w:rFonts w:hint="eastAsia"/>
        </w:rPr>
        <w:t>）</w:t>
      </w:r>
      <w:r>
        <w:t>25.0</w:t>
      </w:r>
      <w:r>
        <w:rPr>
          <w:vertAlign w:val="superscript"/>
        </w:rPr>
        <w:t xml:space="preserve"> </w:t>
      </w:r>
      <w:r>
        <w:t>kg</w:t>
      </w:r>
      <w:r>
        <w:rPr>
          <w:rFonts w:hint="eastAsia"/>
        </w:rPr>
        <w:t>。因地制宜补充中微量元素，推荐使用火龙果专用肥，结合水肥一体化施用。</w:t>
      </w:r>
      <w:r>
        <w:t>3</w:t>
      </w:r>
      <w:r>
        <w:rPr>
          <w:rFonts w:hint="eastAsia"/>
        </w:rPr>
        <w:t>月～</w:t>
      </w:r>
      <w:r>
        <w:t>11</w:t>
      </w:r>
      <w:r>
        <w:rPr>
          <w:rFonts w:hint="eastAsia"/>
        </w:rPr>
        <w:t>月追肥，</w:t>
      </w:r>
      <w:proofErr w:type="gramStart"/>
      <w:r>
        <w:rPr>
          <w:rFonts w:hint="eastAsia"/>
        </w:rPr>
        <w:t>年追</w:t>
      </w:r>
      <w:r>
        <w:t>20</w:t>
      </w:r>
      <w:r>
        <w:rPr>
          <w:rFonts w:hint="eastAsia"/>
        </w:rPr>
        <w:t>～</w:t>
      </w:r>
      <w:r>
        <w:t>25</w:t>
      </w:r>
      <w:r>
        <w:rPr>
          <w:rFonts w:hint="eastAsia"/>
        </w:rPr>
        <w:t>次</w:t>
      </w:r>
      <w:proofErr w:type="gramEnd"/>
      <w:r>
        <w:rPr>
          <w:rFonts w:hint="eastAsia"/>
        </w:rPr>
        <w:t>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成年树施肥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丰产期全年施肥（含有机肥）的氮磷钾配比为1：0.4～0.6：1.2～1.5，其中化学肥料追肥施用量为N≤20.0</w:t>
      </w:r>
      <w:r>
        <w:rPr>
          <w:vertAlign w:val="superscript"/>
        </w:rPr>
        <w:t xml:space="preserve"> </w:t>
      </w:r>
      <w:r>
        <w:rPr>
          <w:rFonts w:hint="eastAsia"/>
        </w:rPr>
        <w:t>kg、P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≤6.6</w:t>
      </w:r>
      <w:r>
        <w:rPr>
          <w:vertAlign w:val="superscript"/>
        </w:rPr>
        <w:t xml:space="preserve"> </w:t>
      </w:r>
      <w:r>
        <w:rPr>
          <w:rFonts w:hint="eastAsia"/>
        </w:rPr>
        <w:t>kg、K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O≤54.1</w:t>
      </w:r>
      <w:r>
        <w:rPr>
          <w:vertAlign w:val="superscript"/>
        </w:rPr>
        <w:t xml:space="preserve"> </w:t>
      </w:r>
      <w:r>
        <w:rPr>
          <w:rFonts w:hint="eastAsia"/>
        </w:rPr>
        <w:t>kg。每年施用腐熟有机肥3</w:t>
      </w:r>
      <w:r>
        <w:rPr>
          <w:vertAlign w:val="superscript"/>
        </w:rPr>
        <w:t xml:space="preserve"> </w:t>
      </w:r>
      <w:r>
        <w:rPr>
          <w:rFonts w:hint="eastAsia"/>
        </w:rPr>
        <w:t>000</w:t>
      </w:r>
      <w:r>
        <w:rPr>
          <w:vertAlign w:val="superscript"/>
        </w:rPr>
        <w:t xml:space="preserve"> </w:t>
      </w:r>
      <w:r>
        <w:rPr>
          <w:rFonts w:hint="eastAsia"/>
        </w:rPr>
        <w:t>kg/亩～4000</w:t>
      </w:r>
      <w:r>
        <w:rPr>
          <w:vertAlign w:val="superscript"/>
        </w:rPr>
        <w:t xml:space="preserve"> </w:t>
      </w:r>
      <w:r>
        <w:rPr>
          <w:rFonts w:hint="eastAsia"/>
        </w:rPr>
        <w:t>kg/亩。2～4月用N：P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：K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O比例为3：1：2全水溶性肥料进行追肥，每次追肥量2</w:t>
      </w:r>
      <w:r>
        <w:rPr>
          <w:vertAlign w:val="superscript"/>
        </w:rPr>
        <w:t xml:space="preserve"> </w:t>
      </w:r>
      <w:r>
        <w:rPr>
          <w:rFonts w:hint="eastAsia"/>
        </w:rPr>
        <w:t>kg/亩～3</w:t>
      </w:r>
      <w:r>
        <w:rPr>
          <w:vertAlign w:val="superscript"/>
        </w:rPr>
        <w:t xml:space="preserve"> </w:t>
      </w:r>
      <w:r>
        <w:rPr>
          <w:rFonts w:hint="eastAsia"/>
        </w:rPr>
        <w:t>kg/亩，每7</w:t>
      </w:r>
      <w:r>
        <w:rPr>
          <w:vertAlign w:val="superscript"/>
        </w:rPr>
        <w:t xml:space="preserve"> </w:t>
      </w:r>
      <w:r>
        <w:rPr>
          <w:rFonts w:hint="eastAsia"/>
        </w:rPr>
        <w:t>d追肥一次；5～12月份用N：P</w:t>
      </w:r>
      <w:r>
        <w:rPr>
          <w:rFonts w:hint="eastAsia"/>
          <w:vertAlign w:val="subscript"/>
        </w:rPr>
        <w:t>2</w:t>
      </w:r>
      <w:r>
        <w:t>O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：K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O比例为2：1：3的全水溶性肥料，每次用量2</w:t>
      </w:r>
      <w:r>
        <w:rPr>
          <w:vertAlign w:val="superscript"/>
        </w:rPr>
        <w:t xml:space="preserve"> </w:t>
      </w:r>
      <w:r>
        <w:rPr>
          <w:rFonts w:hint="eastAsia"/>
        </w:rPr>
        <w:t>kg/亩～3</w:t>
      </w:r>
      <w:r>
        <w:rPr>
          <w:vertAlign w:val="superscript"/>
        </w:rPr>
        <w:t xml:space="preserve"> </w:t>
      </w:r>
      <w:r>
        <w:rPr>
          <w:rFonts w:hint="eastAsia"/>
        </w:rPr>
        <w:t>kg/亩，每7</w:t>
      </w:r>
      <w:r>
        <w:rPr>
          <w:vertAlign w:val="superscript"/>
        </w:rPr>
        <w:t xml:space="preserve"> </w:t>
      </w:r>
      <w:r>
        <w:rPr>
          <w:rFonts w:hint="eastAsia"/>
        </w:rPr>
        <w:t>d追肥一次。全年追肥20～25次，因地制宜补充中微量元素。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土壤调理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果园土壤宜保持pH6.0～7.0，土壤相对湿度R＞60</w:t>
      </w:r>
      <w:r>
        <w:rPr>
          <w:rFonts w:hAnsi="宋体" w:hint="eastAsia"/>
        </w:rPr>
        <w:t>％</w:t>
      </w:r>
      <w:r>
        <w:rPr>
          <w:rFonts w:hint="eastAsia"/>
        </w:rPr>
        <w:t>，</w:t>
      </w:r>
      <w:proofErr w:type="spellStart"/>
      <w:r>
        <w:rPr>
          <w:rFonts w:hint="eastAsia"/>
        </w:rPr>
        <w:t>Ec</w:t>
      </w:r>
      <w:proofErr w:type="spellEnd"/>
      <w:r>
        <w:rPr>
          <w:rFonts w:hint="eastAsia"/>
        </w:rPr>
        <w:t>值0.2～0.45，有机质3</w:t>
      </w:r>
      <w:r>
        <w:rPr>
          <w:rFonts w:hAnsi="宋体" w:hint="eastAsia"/>
        </w:rPr>
        <w:t>％</w:t>
      </w:r>
      <w:r>
        <w:rPr>
          <w:rFonts w:hint="eastAsia"/>
        </w:rPr>
        <w:t>～5</w:t>
      </w:r>
      <w:r>
        <w:rPr>
          <w:rFonts w:hAnsi="宋体" w:hint="eastAsia"/>
        </w:rPr>
        <w:t>％</w:t>
      </w:r>
      <w:r>
        <w:rPr>
          <w:rFonts w:hint="eastAsia"/>
        </w:rPr>
        <w:t>，土壤容重1.1～1.4。当土壤pH＞5.5时，每年施用碱性质材（如农用石灰、白云粉、生理碱性肥料、贝壳粉屑等）进行调节；当土壤pH＞8.0以上时，每年施用酸性材质（如硫磺粉、稀硫酸、生理酸性肥料等）进行调</w:t>
      </w:r>
      <w:r>
        <w:rPr>
          <w:rFonts w:hint="eastAsia"/>
        </w:rPr>
        <w:lastRenderedPageBreak/>
        <w:t xml:space="preserve">节。连续调节2～3年直至土壤pH接近中性。宜常保持土壤疏松、肥沃和湿润状态，结合滴灌清水每月施用1～2次复合微生物菌剂。 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水分管理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高温花芽分化期保持土壤含水量为70％～80％；其余生长期土壤含水量应保持为60％～70％。保持园内排水沟渠通畅，确保汛期及时排除园内积水。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杂草防除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proofErr w:type="gramStart"/>
      <w:r>
        <w:rPr>
          <w:rFonts w:hint="eastAsia"/>
        </w:rPr>
        <w:t>畦面宜</w:t>
      </w:r>
      <w:proofErr w:type="gramEnd"/>
      <w:r>
        <w:rPr>
          <w:rFonts w:hint="eastAsia"/>
        </w:rPr>
        <w:t>采用半腐熟基质进行树盘覆盖，</w:t>
      </w:r>
      <w:proofErr w:type="gramStart"/>
      <w:r>
        <w:rPr>
          <w:rFonts w:hint="eastAsia"/>
        </w:rPr>
        <w:t>畦面和</w:t>
      </w:r>
      <w:proofErr w:type="gramEnd"/>
      <w:r>
        <w:rPr>
          <w:rFonts w:hint="eastAsia"/>
        </w:rPr>
        <w:t>沟底常年保持无杂草或杂草低于10</w:t>
      </w:r>
      <w:r>
        <w:rPr>
          <w:vertAlign w:val="superscript"/>
        </w:rPr>
        <w:t xml:space="preserve"> </w:t>
      </w:r>
      <w:r>
        <w:rPr>
          <w:rFonts w:hint="eastAsia"/>
        </w:rPr>
        <w:t>cm的状态。沟底宜铺盖园艺地布抑制杂草生长。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病虫害防治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主要病虫害种类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主要病害有溃疡病、茎腐病、茎斑病、煤污病、湿腐病、根结线虫病、根腐病等，主要虫害有蜗牛、</w:t>
      </w:r>
      <w:proofErr w:type="gramStart"/>
      <w:r>
        <w:rPr>
          <w:rFonts w:hint="eastAsia"/>
        </w:rPr>
        <w:t>蓟</w:t>
      </w:r>
      <w:proofErr w:type="gramEnd"/>
      <w:r>
        <w:rPr>
          <w:rFonts w:hint="eastAsia"/>
        </w:rPr>
        <w:t>马、果实蝇、</w:t>
      </w:r>
      <w:proofErr w:type="gramStart"/>
      <w:r>
        <w:rPr>
          <w:rFonts w:hint="eastAsia"/>
        </w:rPr>
        <w:t>蚧</w:t>
      </w:r>
      <w:proofErr w:type="gramEnd"/>
      <w:r>
        <w:rPr>
          <w:rFonts w:hint="eastAsia"/>
        </w:rPr>
        <w:t>壳虫、蝶蛾类幼虫等。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防治原则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按照“预防为主，综合防治”原则，对于火龙果的主要重大病虫害进行“早发现、早控制和早治疗”，优先采用农业防治、物理防治、生物防治，严格科学合理地使用化学防治，相关农药的使用应符合N</w:t>
      </w:r>
      <w:r>
        <w:t>Y/T 393</w:t>
      </w:r>
      <w:r>
        <w:rPr>
          <w:rFonts w:hint="eastAsia"/>
        </w:rPr>
        <w:t>的规定。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防治措施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农业防治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包括但不限于严格选地，定植前土壤消杀，种植抗（耐）病品种，选用无病健康苗木，合理密植适量留枝，控制杂草生长，合理灌溉和施肥，2～3月适时放梢，生长季节及时割除溃疡病斑、病枝，结果期及时抹除5～8月期间抽生新梢，每批次果实采收后及时清理田间花果残体，及时摘除黄化花冠，每年末批次果采收后，结合修剪进行冬季清园。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生物防治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保护和利用瓢虫、寄生蜂、捕食</w:t>
      </w:r>
      <w:proofErr w:type="gramStart"/>
      <w:r>
        <w:rPr>
          <w:rFonts w:hint="eastAsia"/>
        </w:rPr>
        <w:t>螨</w:t>
      </w:r>
      <w:proofErr w:type="gramEnd"/>
      <w:r>
        <w:rPr>
          <w:rFonts w:hint="eastAsia"/>
        </w:rPr>
        <w:t>等天敌防治害虫。用赤眼蜂防治卷叶虫。使用性</w:t>
      </w:r>
      <w:proofErr w:type="gramStart"/>
      <w:r>
        <w:rPr>
          <w:rFonts w:hint="eastAsia"/>
        </w:rPr>
        <w:t>诱</w:t>
      </w:r>
      <w:proofErr w:type="gramEnd"/>
      <w:r>
        <w:rPr>
          <w:rFonts w:hint="eastAsia"/>
        </w:rPr>
        <w:t>剂防治斜纹夜蛾等，每亩可放置3～5个性</w:t>
      </w:r>
      <w:proofErr w:type="gramStart"/>
      <w:r>
        <w:rPr>
          <w:rFonts w:hint="eastAsia"/>
        </w:rPr>
        <w:t>诱</w:t>
      </w:r>
      <w:proofErr w:type="gramEnd"/>
      <w:r>
        <w:rPr>
          <w:rFonts w:hint="eastAsia"/>
        </w:rPr>
        <w:t>剂诱捕器。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物理防治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利用杀虫灯、粘虫板、性</w:t>
      </w:r>
      <w:proofErr w:type="gramStart"/>
      <w:r>
        <w:rPr>
          <w:rFonts w:hint="eastAsia"/>
        </w:rPr>
        <w:t>诱</w:t>
      </w:r>
      <w:proofErr w:type="gramEnd"/>
      <w:r>
        <w:rPr>
          <w:rFonts w:hint="eastAsia"/>
        </w:rPr>
        <w:t>等诱杀害虫。</w:t>
      </w:r>
      <w:proofErr w:type="gramStart"/>
      <w:r>
        <w:rPr>
          <w:rFonts w:hint="eastAsia"/>
        </w:rPr>
        <w:t>杀虫灯每30～50亩</w:t>
      </w:r>
      <w:proofErr w:type="gramEnd"/>
      <w:r>
        <w:rPr>
          <w:rFonts w:hint="eastAsia"/>
        </w:rPr>
        <w:t>设置1个，放置于果园路边，诱杀斜纹夜蛾等。在害虫发生初期悬挂黄色粘虫板防治潜叶蝇、果实蝇、蚜虫及多种双翅目害虫，悬挂蓝色粘虫板防治</w:t>
      </w:r>
      <w:proofErr w:type="gramStart"/>
      <w:r>
        <w:rPr>
          <w:rFonts w:hint="eastAsia"/>
        </w:rPr>
        <w:t>蓟</w:t>
      </w:r>
      <w:proofErr w:type="gramEnd"/>
      <w:r>
        <w:rPr>
          <w:rFonts w:hint="eastAsia"/>
        </w:rPr>
        <w:t>马、叶蝉等，每6亩放置黄板（蓝板）25～30片。悬挂性</w:t>
      </w:r>
      <w:proofErr w:type="gramStart"/>
      <w:r>
        <w:rPr>
          <w:rFonts w:hint="eastAsia"/>
        </w:rPr>
        <w:t>诱</w:t>
      </w:r>
      <w:proofErr w:type="gramEnd"/>
      <w:r>
        <w:rPr>
          <w:rFonts w:hint="eastAsia"/>
        </w:rPr>
        <w:t>瓶诱杀果实蝇，果实套袋防止病虫直接危害果实。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药剂防治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lastRenderedPageBreak/>
        <w:t>优先选用生物农药，化学合成农药应选用低毒、低残留和对环境友好的农药。药剂的使用应符合GB/T 8321（所有部分）和NY/T 393的规定。根据防治对象用药，火龙果主要病虫害化学防治用药参见附录A。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田间管理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树型培养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根据株距选择树形模式，对幼龄树分步骤进行整枝，将树体培养成标准树形。株距20</w:t>
      </w:r>
      <w:r>
        <w:rPr>
          <w:vertAlign w:val="superscript"/>
        </w:rPr>
        <w:t xml:space="preserve"> </w:t>
      </w:r>
      <w:r>
        <w:rPr>
          <w:rFonts w:hint="eastAsia"/>
        </w:rPr>
        <w:t>cm选择“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蔓六枝”、株距33</w:t>
      </w:r>
      <w:r>
        <w:rPr>
          <w:vertAlign w:val="superscript"/>
        </w:rPr>
        <w:t xml:space="preserve"> </w:t>
      </w:r>
      <w:r>
        <w:rPr>
          <w:rFonts w:hint="eastAsia"/>
        </w:rPr>
        <w:t>cm选择“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蔓八枝”树形，株距宽或窄的可根据实际情况调整。宜分批留</w:t>
      </w:r>
      <w:proofErr w:type="gramStart"/>
      <w:r>
        <w:rPr>
          <w:rFonts w:hint="eastAsia"/>
        </w:rPr>
        <w:t>芽培养</w:t>
      </w:r>
      <w:proofErr w:type="gramEnd"/>
      <w:r>
        <w:rPr>
          <w:rFonts w:hint="eastAsia"/>
        </w:rPr>
        <w:t>结果枝。在主蔓的结果枝预留</w:t>
      </w:r>
      <w:proofErr w:type="gramStart"/>
      <w:r>
        <w:rPr>
          <w:rFonts w:hint="eastAsia"/>
        </w:rPr>
        <w:t>芽</w:t>
      </w:r>
      <w:proofErr w:type="gramEnd"/>
      <w:r>
        <w:rPr>
          <w:rFonts w:hint="eastAsia"/>
        </w:rPr>
        <w:t>位置抽生的新芽中，分2～4批次选留新芽培养为结果枝。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标准结果枝参数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宜培养数量密度合理的标准结果枝。以生长势中等的红皮红</w:t>
      </w:r>
      <w:proofErr w:type="gramStart"/>
      <w:r>
        <w:rPr>
          <w:rFonts w:hint="eastAsia"/>
        </w:rPr>
        <w:t>肉品种</w:t>
      </w:r>
      <w:proofErr w:type="gramEnd"/>
      <w:r>
        <w:rPr>
          <w:rFonts w:hint="eastAsia"/>
        </w:rPr>
        <w:t>为例，标准结果枝长度为90</w:t>
      </w:r>
      <w:r>
        <w:rPr>
          <w:vertAlign w:val="superscript"/>
        </w:rPr>
        <w:t xml:space="preserve"> </w:t>
      </w:r>
      <w:r>
        <w:rPr>
          <w:rFonts w:hint="eastAsia"/>
        </w:rPr>
        <w:t>cm±10</w:t>
      </w:r>
      <w:r>
        <w:rPr>
          <w:vertAlign w:val="superscript"/>
        </w:rPr>
        <w:t xml:space="preserve"> </w:t>
      </w:r>
      <w:r>
        <w:rPr>
          <w:rFonts w:hint="eastAsia"/>
        </w:rPr>
        <w:t>cm，粗度为8</w:t>
      </w:r>
      <w:r>
        <w:rPr>
          <w:vertAlign w:val="superscript"/>
        </w:rPr>
        <w:t xml:space="preserve"> </w:t>
      </w:r>
      <w:r>
        <w:rPr>
          <w:rFonts w:hint="eastAsia"/>
        </w:rPr>
        <w:t>cm±2</w:t>
      </w:r>
      <w:r>
        <w:rPr>
          <w:vertAlign w:val="superscript"/>
        </w:rPr>
        <w:t xml:space="preserve"> </w:t>
      </w:r>
      <w:r>
        <w:rPr>
          <w:rFonts w:hint="eastAsia"/>
        </w:rPr>
        <w:t>cm，不分段（新芽连续生长直至打顶），平均</w:t>
      </w:r>
      <w:proofErr w:type="gramStart"/>
      <w:r>
        <w:rPr>
          <w:rFonts w:hint="eastAsia"/>
        </w:rPr>
        <w:t>刺</w:t>
      </w:r>
      <w:proofErr w:type="gramEnd"/>
      <w:r>
        <w:rPr>
          <w:rFonts w:hint="eastAsia"/>
        </w:rPr>
        <w:t>座间长度为5</w:t>
      </w:r>
      <w:r>
        <w:rPr>
          <w:vertAlign w:val="superscript"/>
        </w:rPr>
        <w:t xml:space="preserve"> </w:t>
      </w:r>
      <w:r>
        <w:rPr>
          <w:rFonts w:hint="eastAsia"/>
        </w:rPr>
        <w:t>cm～6</w:t>
      </w:r>
      <w:r>
        <w:rPr>
          <w:vertAlign w:val="superscript"/>
        </w:rPr>
        <w:t xml:space="preserve"> </w:t>
      </w:r>
      <w:r>
        <w:rPr>
          <w:rFonts w:hint="eastAsia"/>
        </w:rPr>
        <w:t>cm，颜色浓绿、充实饱满、无病虫斑，</w:t>
      </w:r>
      <w:proofErr w:type="gramStart"/>
      <w:r>
        <w:rPr>
          <w:rFonts w:hint="eastAsia"/>
        </w:rPr>
        <w:t>枝龄</w:t>
      </w:r>
      <w:proofErr w:type="gramEnd"/>
      <w:r>
        <w:rPr>
          <w:rFonts w:hint="eastAsia"/>
        </w:rPr>
        <w:t>180</w:t>
      </w:r>
      <w:r>
        <w:rPr>
          <w:vertAlign w:val="superscript"/>
        </w:rPr>
        <w:t xml:space="preserve"> </w:t>
      </w:r>
      <w:r>
        <w:rPr>
          <w:rFonts w:hint="eastAsia"/>
        </w:rPr>
        <w:t>d以上（从抽新芽开始计算）；幼龄</w:t>
      </w:r>
      <w:proofErr w:type="gramStart"/>
      <w:r>
        <w:rPr>
          <w:rFonts w:hint="eastAsia"/>
        </w:rPr>
        <w:t>树培养</w:t>
      </w:r>
      <w:proofErr w:type="gramEnd"/>
      <w:r>
        <w:rPr>
          <w:rFonts w:hint="eastAsia"/>
        </w:rPr>
        <w:t>完成后进入开花结果期前，果园标准结果枝达到10</w:t>
      </w:r>
      <w:r>
        <w:rPr>
          <w:vertAlign w:val="superscript"/>
        </w:rPr>
        <w:t xml:space="preserve"> </w:t>
      </w:r>
      <w:r>
        <w:rPr>
          <w:rFonts w:hint="eastAsia"/>
        </w:rPr>
        <w:t>000个/</w:t>
      </w:r>
      <w:proofErr w:type="gramStart"/>
      <w:r>
        <w:rPr>
          <w:rFonts w:hint="eastAsia"/>
        </w:rPr>
        <w:t>亩即可</w:t>
      </w:r>
      <w:proofErr w:type="gramEnd"/>
      <w:r>
        <w:rPr>
          <w:rFonts w:hint="eastAsia"/>
        </w:rPr>
        <w:t>。从第三年起，每年产果期结束后修剪</w:t>
      </w:r>
      <w:proofErr w:type="gramStart"/>
      <w:r>
        <w:rPr>
          <w:rFonts w:hint="eastAsia"/>
        </w:rPr>
        <w:t>淘汰约</w:t>
      </w:r>
      <w:proofErr w:type="gramEnd"/>
      <w:r>
        <w:rPr>
          <w:rFonts w:hint="eastAsia"/>
        </w:rPr>
        <w:t>1/3的二至三年生老枝，3年全部结果枝更新一遍。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冬季清园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每年采果期结束后宜及早进行采后修剪，将三年</w:t>
      </w:r>
      <w:proofErr w:type="gramStart"/>
      <w:r>
        <w:rPr>
          <w:rFonts w:hint="eastAsia"/>
        </w:rPr>
        <w:t>生以上</w:t>
      </w:r>
      <w:proofErr w:type="gramEnd"/>
      <w:r>
        <w:rPr>
          <w:rFonts w:hint="eastAsia"/>
        </w:rPr>
        <w:t>枝条、老弱病残荫枝、过密枝、异常枝等剪除，全园喷施一次杀菌剂进行清园。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适时放梢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适时放梢，广西于3月上旬促进春梢足量统一集中抽生，使新芽连续生长、健康、粗壮，于4月下旬前后打顶老熟；广东于2月上旬促进春梢，于4月下旬前后打顶；海南于2月上旬促进春梢，于4月下旬前后打顶；云南于2月上旬促进春梢，于4月下旬前后打顶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新梢选留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当春梢长度达10</w:t>
      </w:r>
      <w:r>
        <w:rPr>
          <w:vertAlign w:val="superscript"/>
        </w:rPr>
        <w:t xml:space="preserve"> </w:t>
      </w:r>
      <w:r>
        <w:rPr>
          <w:rFonts w:hint="eastAsia"/>
        </w:rPr>
        <w:t>cm±5</w:t>
      </w:r>
      <w:r>
        <w:rPr>
          <w:vertAlign w:val="superscript"/>
        </w:rPr>
        <w:t xml:space="preserve"> </w:t>
      </w:r>
      <w:r>
        <w:rPr>
          <w:rFonts w:hint="eastAsia"/>
        </w:rPr>
        <w:t>cm时进行新梢选留，宜保留结果枝基部靠近主蔓位置、且斜向外离心（主蔓）生长的、疏密均匀的新梢，数量3</w:t>
      </w:r>
      <w:r>
        <w:rPr>
          <w:vertAlign w:val="superscript"/>
        </w:rPr>
        <w:t xml:space="preserve"> </w:t>
      </w:r>
      <w:r>
        <w:rPr>
          <w:rFonts w:hint="eastAsia"/>
        </w:rPr>
        <w:t>000～4</w:t>
      </w:r>
      <w:r>
        <w:rPr>
          <w:vertAlign w:val="superscript"/>
        </w:rPr>
        <w:t xml:space="preserve"> </w:t>
      </w:r>
      <w:r>
        <w:rPr>
          <w:rFonts w:hint="eastAsia"/>
        </w:rPr>
        <w:t>000个/667</w:t>
      </w:r>
      <w:r>
        <w:rPr>
          <w:vertAlign w:val="superscript"/>
        </w:rPr>
        <w:t xml:space="preserve"> 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。分别于新</w:t>
      </w:r>
      <w:proofErr w:type="gramStart"/>
      <w:r>
        <w:rPr>
          <w:rFonts w:hint="eastAsia"/>
        </w:rPr>
        <w:t>梢平均</w:t>
      </w:r>
      <w:proofErr w:type="gramEnd"/>
      <w:r>
        <w:rPr>
          <w:rFonts w:hint="eastAsia"/>
        </w:rPr>
        <w:t>长度为10</w:t>
      </w:r>
      <w:r>
        <w:rPr>
          <w:vertAlign w:val="superscript"/>
        </w:rPr>
        <w:t xml:space="preserve"> </w:t>
      </w:r>
      <w:r>
        <w:rPr>
          <w:rFonts w:hint="eastAsia"/>
        </w:rPr>
        <w:t>cm±5</w:t>
      </w:r>
      <w:r>
        <w:rPr>
          <w:vertAlign w:val="superscript"/>
        </w:rPr>
        <w:t xml:space="preserve"> </w:t>
      </w:r>
      <w:r>
        <w:rPr>
          <w:rFonts w:hint="eastAsia"/>
        </w:rPr>
        <w:t>cm、30</w:t>
      </w:r>
      <w:r>
        <w:rPr>
          <w:vertAlign w:val="superscript"/>
        </w:rPr>
        <w:t xml:space="preserve"> </w:t>
      </w:r>
      <w:r>
        <w:rPr>
          <w:rFonts w:hint="eastAsia"/>
        </w:rPr>
        <w:t>cm±5</w:t>
      </w:r>
      <w:r>
        <w:rPr>
          <w:vertAlign w:val="superscript"/>
        </w:rPr>
        <w:t xml:space="preserve"> </w:t>
      </w:r>
      <w:r>
        <w:rPr>
          <w:rFonts w:hint="eastAsia"/>
        </w:rPr>
        <w:t>cm、60</w:t>
      </w:r>
      <w:r>
        <w:rPr>
          <w:vertAlign w:val="superscript"/>
        </w:rPr>
        <w:t xml:space="preserve"> </w:t>
      </w:r>
      <w:r>
        <w:rPr>
          <w:rFonts w:hint="eastAsia"/>
        </w:rPr>
        <w:t>cm±5</w:t>
      </w:r>
      <w:r>
        <w:rPr>
          <w:vertAlign w:val="superscript"/>
        </w:rPr>
        <w:t xml:space="preserve"> </w:t>
      </w:r>
      <w:r>
        <w:rPr>
          <w:rFonts w:hint="eastAsia"/>
        </w:rPr>
        <w:t>cm时，喷施</w:t>
      </w:r>
      <w:r w:rsidRPr="00B67240">
        <w:rPr>
          <w:rFonts w:hint="eastAsia"/>
        </w:rPr>
        <w:t>广谱杀虫剂与杀菌剂</w:t>
      </w:r>
      <w:r>
        <w:rPr>
          <w:rFonts w:hint="eastAsia"/>
        </w:rPr>
        <w:t>混合溶液保护新梢。当年生新梢的平均长度＞90</w:t>
      </w:r>
      <w:r>
        <w:rPr>
          <w:vertAlign w:val="superscript"/>
        </w:rPr>
        <w:t xml:space="preserve"> </w:t>
      </w:r>
      <w:r>
        <w:rPr>
          <w:rFonts w:hint="eastAsia"/>
        </w:rPr>
        <w:t>cm</w:t>
      </w:r>
      <w:proofErr w:type="gramStart"/>
      <w:r>
        <w:rPr>
          <w:rFonts w:hint="eastAsia"/>
        </w:rPr>
        <w:t>或梢尖</w:t>
      </w:r>
      <w:proofErr w:type="gramEnd"/>
      <w:r>
        <w:rPr>
          <w:rFonts w:hint="eastAsia"/>
        </w:rPr>
        <w:t>下垂至</w:t>
      </w:r>
      <w:proofErr w:type="gramStart"/>
      <w:r>
        <w:rPr>
          <w:rFonts w:hint="eastAsia"/>
        </w:rPr>
        <w:t>接近畦面</w:t>
      </w:r>
      <w:proofErr w:type="gramEnd"/>
      <w:r>
        <w:rPr>
          <w:rFonts w:hint="eastAsia"/>
        </w:rPr>
        <w:t>20</w:t>
      </w:r>
      <w:r>
        <w:rPr>
          <w:vertAlign w:val="superscript"/>
        </w:rPr>
        <w:t xml:space="preserve"> </w:t>
      </w:r>
      <w:r>
        <w:rPr>
          <w:rFonts w:hint="eastAsia"/>
        </w:rPr>
        <w:t>cm±5</w:t>
      </w:r>
      <w:r>
        <w:rPr>
          <w:vertAlign w:val="superscript"/>
        </w:rPr>
        <w:t xml:space="preserve"> </w:t>
      </w:r>
      <w:r>
        <w:rPr>
          <w:rFonts w:hint="eastAsia"/>
        </w:rPr>
        <w:t>cm时进行打顶。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计划结果与产期调节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t>原则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根据市场需求及当地的气温天气情况，合理规划安排产果期、</w:t>
      </w:r>
      <w:proofErr w:type="gramStart"/>
      <w:r>
        <w:rPr>
          <w:rFonts w:hint="eastAsia"/>
        </w:rPr>
        <w:t>每茬每批次</w:t>
      </w:r>
      <w:proofErr w:type="gramEnd"/>
      <w:r>
        <w:rPr>
          <w:rFonts w:hint="eastAsia"/>
        </w:rPr>
        <w:t>的留果量、</w:t>
      </w:r>
      <w:proofErr w:type="gramStart"/>
      <w:r>
        <w:rPr>
          <w:rFonts w:hint="eastAsia"/>
        </w:rPr>
        <w:t>轮枝结果及各茬次</w:t>
      </w:r>
      <w:proofErr w:type="gramEnd"/>
      <w:r>
        <w:rPr>
          <w:rFonts w:hint="eastAsia"/>
        </w:rPr>
        <w:t>的枝果比，宜在质优价高、温度适宜、温差大、光照好、病虫害相对较轻的季节安排大批次开花结果。宜采用“一年三茬”结果模式，可选择的</w:t>
      </w:r>
      <w:proofErr w:type="gramStart"/>
      <w:r>
        <w:rPr>
          <w:rFonts w:hint="eastAsia"/>
        </w:rPr>
        <w:t>满茬方式</w:t>
      </w:r>
      <w:proofErr w:type="gramEnd"/>
      <w:r>
        <w:rPr>
          <w:rFonts w:hint="eastAsia"/>
        </w:rPr>
        <w:t>有“单个批次满茬”、“两个批次满茬”和“多个批次满茬”三种。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各地第一茬花果放留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lastRenderedPageBreak/>
        <w:t>宜提前2个月左右且</w:t>
      </w:r>
      <w:proofErr w:type="gramStart"/>
      <w:r>
        <w:rPr>
          <w:rFonts w:hint="eastAsia"/>
        </w:rPr>
        <w:t>昼温宜稳定</w:t>
      </w:r>
      <w:proofErr w:type="gramEnd"/>
      <w:r>
        <w:rPr>
          <w:rFonts w:hint="eastAsia"/>
        </w:rPr>
        <w:t>在20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℃以上时，用峰值波长λp范围为610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nm～660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nm的火龙果专用补光催花灯进行人工补光催花。广西于5月上旬</w:t>
      </w:r>
      <w:proofErr w:type="gramStart"/>
      <w:r>
        <w:rPr>
          <w:rFonts w:hint="eastAsia"/>
        </w:rPr>
        <w:t>放留生</w:t>
      </w:r>
      <w:proofErr w:type="gramEnd"/>
      <w:r>
        <w:rPr>
          <w:rFonts w:hint="eastAsia"/>
        </w:rPr>
        <w:t>花蕾，5月中下旬开花，6月上旬至7月上旬果实成熟；广东于4月</w:t>
      </w:r>
      <w:proofErr w:type="gramStart"/>
      <w:r>
        <w:rPr>
          <w:rFonts w:hint="eastAsia"/>
        </w:rPr>
        <w:t>上旬放留花蕾</w:t>
      </w:r>
      <w:proofErr w:type="gramEnd"/>
      <w:r>
        <w:rPr>
          <w:rFonts w:hint="eastAsia"/>
        </w:rPr>
        <w:t>，4月中下旬开花，5月下旬至6月上旬果实成熟；海南、云南于3月</w:t>
      </w:r>
      <w:proofErr w:type="gramStart"/>
      <w:r>
        <w:rPr>
          <w:rFonts w:hint="eastAsia"/>
        </w:rPr>
        <w:t>中旬放留花蕾</w:t>
      </w:r>
      <w:proofErr w:type="gramEnd"/>
      <w:r>
        <w:rPr>
          <w:rFonts w:hint="eastAsia"/>
        </w:rPr>
        <w:t>，4月上旬开花，5月上旬至5月中旬果实成熟。第一茬总体成花</w:t>
      </w:r>
      <w:proofErr w:type="gramStart"/>
      <w:r>
        <w:rPr>
          <w:rFonts w:hint="eastAsia"/>
        </w:rPr>
        <w:t>结果枝率宜控制</w:t>
      </w:r>
      <w:proofErr w:type="gramEnd"/>
      <w:r>
        <w:rPr>
          <w:rFonts w:hint="eastAsia"/>
        </w:rPr>
        <w:t>在30％～40％（3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000～4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000个/亩）。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各地第二茬花果放留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广西、广东于7月</w:t>
      </w:r>
      <w:proofErr w:type="gramStart"/>
      <w:r>
        <w:rPr>
          <w:rFonts w:hint="eastAsia"/>
        </w:rPr>
        <w:t>下旬放留花蕾</w:t>
      </w:r>
      <w:proofErr w:type="gramEnd"/>
      <w:r>
        <w:rPr>
          <w:rFonts w:hint="eastAsia"/>
        </w:rPr>
        <w:t>，8月上中旬开花，9月上中旬果实成熟；海南、云南于7月</w:t>
      </w:r>
      <w:proofErr w:type="gramStart"/>
      <w:r>
        <w:rPr>
          <w:rFonts w:hint="eastAsia"/>
        </w:rPr>
        <w:t>上旬前放留</w:t>
      </w:r>
      <w:proofErr w:type="gramEnd"/>
      <w:r>
        <w:rPr>
          <w:rFonts w:hint="eastAsia"/>
        </w:rPr>
        <w:t>花蕾，7月下旬开花，8月下旬果实成熟。第二茬总体成花</w:t>
      </w:r>
      <w:proofErr w:type="gramStart"/>
      <w:r>
        <w:rPr>
          <w:rFonts w:hint="eastAsia"/>
        </w:rPr>
        <w:t>结果枝率宜控制</w:t>
      </w:r>
      <w:proofErr w:type="gramEnd"/>
      <w:r>
        <w:rPr>
          <w:rFonts w:hint="eastAsia"/>
        </w:rPr>
        <w:t>在20％～25％（3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000～4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000个/亩）。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各地第三茬花果放留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宜提前2个月左右且</w:t>
      </w:r>
      <w:proofErr w:type="gramStart"/>
      <w:r>
        <w:rPr>
          <w:rFonts w:hint="eastAsia"/>
        </w:rPr>
        <w:t>昼温宜稳定</w:t>
      </w:r>
      <w:proofErr w:type="gramEnd"/>
      <w:r>
        <w:rPr>
          <w:rFonts w:hint="eastAsia"/>
        </w:rPr>
        <w:t>在20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℃以上时补光催花。广西南宁于10月上</w:t>
      </w:r>
      <w:proofErr w:type="gramStart"/>
      <w:r>
        <w:rPr>
          <w:rFonts w:hint="eastAsia"/>
        </w:rPr>
        <w:t>中旬放留花蕾</w:t>
      </w:r>
      <w:proofErr w:type="gramEnd"/>
      <w:r>
        <w:rPr>
          <w:rFonts w:hint="eastAsia"/>
        </w:rPr>
        <w:t>，10月中下旬之前开花，12月下旬至翌年1月中旬前果实成熟；广东湛江于10月</w:t>
      </w:r>
      <w:proofErr w:type="gramStart"/>
      <w:r>
        <w:rPr>
          <w:rFonts w:hint="eastAsia"/>
        </w:rPr>
        <w:t>下旬放留花蕾</w:t>
      </w:r>
      <w:proofErr w:type="gramEnd"/>
      <w:r>
        <w:rPr>
          <w:rFonts w:hint="eastAsia"/>
        </w:rPr>
        <w:t>，11月下旬开花，翌年1月上旬至2月上旬果实成熟；海南东方三亚、云南西双版纳于11月</w:t>
      </w:r>
      <w:proofErr w:type="gramStart"/>
      <w:r>
        <w:rPr>
          <w:rFonts w:hint="eastAsia"/>
        </w:rPr>
        <w:t>上旬前放留</w:t>
      </w:r>
      <w:proofErr w:type="gramEnd"/>
      <w:r>
        <w:rPr>
          <w:rFonts w:hint="eastAsia"/>
        </w:rPr>
        <w:t>花蕾，11月下旬开花，2月上旬至下旬果实成熟。第三茬总体成花</w:t>
      </w:r>
      <w:proofErr w:type="gramStart"/>
      <w:r>
        <w:rPr>
          <w:rFonts w:hint="eastAsia"/>
        </w:rPr>
        <w:t>结果枝率宜控制</w:t>
      </w:r>
      <w:proofErr w:type="gramEnd"/>
      <w:r>
        <w:rPr>
          <w:rFonts w:hint="eastAsia"/>
        </w:rPr>
        <w:t>在40％～50％（3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000～4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000个/亩）。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proofErr w:type="gramStart"/>
      <w:r>
        <w:rPr>
          <w:rFonts w:hint="eastAsia"/>
        </w:rPr>
        <w:t>各茬花果</w:t>
      </w:r>
      <w:proofErr w:type="gramEnd"/>
      <w:r>
        <w:rPr>
          <w:rFonts w:hint="eastAsia"/>
        </w:rPr>
        <w:t>管理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花蕾选留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于花蕾纵径4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cm～6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cm时进行花蕾选留及</w:t>
      </w:r>
      <w:proofErr w:type="gramStart"/>
      <w:r>
        <w:rPr>
          <w:rFonts w:hint="eastAsia"/>
        </w:rPr>
        <w:t>枝果比控制</w:t>
      </w:r>
      <w:proofErr w:type="gramEnd"/>
      <w:r>
        <w:rPr>
          <w:rFonts w:hint="eastAsia"/>
        </w:rPr>
        <w:t>，使第一茬总体成花结果枝率控制在30％～40％（3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000～4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000个/亩），一枝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蕾（果）、其余疏除。优先保留于三年生结果枝上长出的花蕾，数量不足部分花蕾可于二年生枝条上适当补留。</w:t>
      </w:r>
      <w:proofErr w:type="gramStart"/>
      <w:r>
        <w:rPr>
          <w:rFonts w:hint="eastAsia"/>
        </w:rPr>
        <w:t>每茬果</w:t>
      </w:r>
      <w:proofErr w:type="gramEnd"/>
      <w:r>
        <w:rPr>
          <w:rFonts w:hint="eastAsia"/>
        </w:rPr>
        <w:t>留足花蕾之后，将其后抽生的各批次零星花蕾须全部摘除，于花蕾长度4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cm～6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cm时进行摘除，直至下</w:t>
      </w:r>
      <w:proofErr w:type="gramStart"/>
      <w:r>
        <w:rPr>
          <w:rFonts w:hint="eastAsia"/>
        </w:rPr>
        <w:t>一茬放留日期</w:t>
      </w:r>
      <w:proofErr w:type="gramEnd"/>
      <w:r>
        <w:rPr>
          <w:rFonts w:hint="eastAsia"/>
        </w:rPr>
        <w:t>到达之前。</w:t>
      </w:r>
    </w:p>
    <w:p w:rsidR="003B696B" w:rsidRDefault="003B696B" w:rsidP="00157C6D">
      <w:pPr>
        <w:pStyle w:val="af2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 xml:space="preserve">花果管理 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分别于花蕾4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cm～6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cm及盛花后7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d～15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d，根据果园病虫害测报和特点各进行一次病虫害防控。</w:t>
      </w:r>
      <w:proofErr w:type="gramStart"/>
      <w:r>
        <w:rPr>
          <w:rFonts w:hint="eastAsia"/>
        </w:rPr>
        <w:t>若盛花</w:t>
      </w:r>
      <w:proofErr w:type="gramEnd"/>
      <w:r>
        <w:rPr>
          <w:rFonts w:hint="eastAsia"/>
        </w:rPr>
        <w:t>当天晚上降雨概率较大，应在下午4点后套防水纸袋（杯），保花促授粉。谢花后4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d，去除凋残花冠。宜进行果实套袋。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防寒抗冻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12月下旬至1月</w:t>
      </w:r>
      <w:proofErr w:type="gramStart"/>
      <w:r>
        <w:rPr>
          <w:rFonts w:hint="eastAsia"/>
        </w:rPr>
        <w:t>下旬应</w:t>
      </w:r>
      <w:proofErr w:type="gramEnd"/>
      <w:r>
        <w:rPr>
          <w:rFonts w:hint="eastAsia"/>
        </w:rPr>
        <w:t>密切关注天气预报，若日最低气温≤5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℃几率较高，应及早采取覆盖、烟熏、灌水、喷水等防寒措施避免或减轻冷害。冷空气过后，应及时剪除受害茎枝，加强水肥管理及枝条保护。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采收保鲜包装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采收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果实成熟度达8成及以上即可采收。可根据果实成熟度、用途和市场需求等因素确定采收适期。成熟期不一致时，应分批分期采收。采收运输过程中须注意防止果实挤压、碰撞、刺伤。果实从采收下树</w:t>
      </w:r>
      <w:proofErr w:type="gramStart"/>
      <w:r>
        <w:rPr>
          <w:rFonts w:hint="eastAsia"/>
        </w:rPr>
        <w:t>至运输至采</w:t>
      </w:r>
      <w:proofErr w:type="gramEnd"/>
      <w:r>
        <w:rPr>
          <w:rFonts w:hint="eastAsia"/>
        </w:rPr>
        <w:t>后处理车间的时间应≤2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h。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保鲜处理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lastRenderedPageBreak/>
        <w:t>果实应及时清洗，按照附录A规定药剂防腐处理，风干表皮水分后，尽快将果实放置到5</w:t>
      </w:r>
      <w:r>
        <w:rPr>
          <w:vertAlign w:val="superscript"/>
        </w:rPr>
        <w:t xml:space="preserve"> </w:t>
      </w:r>
      <w:r>
        <w:rPr>
          <w:rFonts w:hint="eastAsia"/>
        </w:rPr>
        <w:t>℃～8</w:t>
      </w:r>
      <w:r>
        <w:rPr>
          <w:vertAlign w:val="superscript"/>
        </w:rPr>
        <w:t xml:space="preserve"> </w:t>
      </w:r>
      <w:r>
        <w:rPr>
          <w:rFonts w:hint="eastAsia"/>
        </w:rPr>
        <w:t>℃的冷库内进行预冷，迅速将果心温度降至10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℃以下。</w:t>
      </w:r>
    </w:p>
    <w:p w:rsidR="003B696B" w:rsidRDefault="003B696B" w:rsidP="00157C6D">
      <w:pPr>
        <w:pStyle w:val="af1"/>
        <w:adjustRightInd w:val="0"/>
        <w:snapToGrid w:val="0"/>
        <w:spacing w:beforeLines="0" w:before="0" w:afterLines="0" w:after="0" w:line="360" w:lineRule="auto"/>
      </w:pPr>
      <w:r>
        <w:rPr>
          <w:rFonts w:hint="eastAsia"/>
        </w:rPr>
        <w:t>包装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包装应符合NY/T 658、NY/T 3601、GB 43284和《中国绿色食品商标标志设计使用规范手册》的规定。建立统一的生产批号编码原则，并能保证生产批号的唯一性，以实现产品生产全部过程的追溯。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储藏与运输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储藏与运输应符合NY/T 1056和NY/T 3911的规定。运输工具清洁、干燥、无污染、无异物。</w:t>
      </w:r>
      <w:proofErr w:type="gramStart"/>
      <w:r>
        <w:rPr>
          <w:rFonts w:hint="eastAsia"/>
        </w:rPr>
        <w:t>装运轻卸轻放</w:t>
      </w:r>
      <w:proofErr w:type="gramEnd"/>
      <w:r>
        <w:rPr>
          <w:rFonts w:hint="eastAsia"/>
        </w:rPr>
        <w:t>，不允许混装。长途运输需要采用冷链系统，运输温度以13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℃±0.5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℃为佳。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生产废弃物处理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对投入品包装物、茎秆、花果残体等农业废弃物，采取循环利用的环保措施和方法集中处理，禁止焚烧。</w:t>
      </w:r>
    </w:p>
    <w:p w:rsidR="003B696B" w:rsidRDefault="003B696B" w:rsidP="00157C6D">
      <w:pPr>
        <w:pStyle w:val="af0"/>
        <w:adjustRightInd w:val="0"/>
        <w:snapToGrid w:val="0"/>
        <w:spacing w:beforeLines="0" w:before="0" w:afterLines="0" w:after="0" w:line="360" w:lineRule="auto"/>
        <w:ind w:left="0"/>
      </w:pPr>
      <w:r>
        <w:rPr>
          <w:rFonts w:hint="eastAsia"/>
        </w:rPr>
        <w:t>档案管理</w:t>
      </w:r>
    </w:p>
    <w:p w:rsidR="003B696B" w:rsidRDefault="003B696B" w:rsidP="00157C6D">
      <w:pPr>
        <w:pStyle w:val="afe"/>
        <w:adjustRightInd w:val="0"/>
        <w:snapToGrid w:val="0"/>
        <w:spacing w:line="360" w:lineRule="auto"/>
        <w:ind w:firstLine="420"/>
      </w:pPr>
      <w:r>
        <w:rPr>
          <w:rFonts w:hint="eastAsia"/>
        </w:rPr>
        <w:t>建立并保存田间生产档案及相关记录，如实记录使用农业投入品的名称、来源、用法、用量和使用的日期，病对火龙果物候期，生产田间操作中施肥、病虫害防治、修剪、采收等各环节所采取的措施以及气温、降雨、日照等气象资料进行简要记录。生产档案应有专人保管，保存不少于3年。</w:t>
      </w:r>
    </w:p>
    <w:p w:rsidR="003B696B" w:rsidRDefault="003B696B" w:rsidP="003B696B">
      <w:pPr>
        <w:pStyle w:val="afe"/>
        <w:ind w:firstLine="420"/>
      </w:pPr>
    </w:p>
    <w:p w:rsidR="003B696B" w:rsidRDefault="003B696B" w:rsidP="003B696B">
      <w:pPr>
        <w:pStyle w:val="afe"/>
        <w:ind w:firstLine="420"/>
        <w:sectPr w:rsidR="003B696B" w:rsidSect="003B696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1928" w:right="1134" w:bottom="1134" w:left="1134" w:header="1418" w:footer="1134" w:gutter="284"/>
          <w:pgNumType w:start="1"/>
          <w:cols w:space="425"/>
          <w:formProt w:val="0"/>
          <w:docGrid w:linePitch="312"/>
        </w:sectPr>
      </w:pPr>
    </w:p>
    <w:p w:rsidR="003B696B" w:rsidRDefault="003B696B" w:rsidP="003B696B">
      <w:pPr>
        <w:pStyle w:val="a5"/>
      </w:pPr>
      <w:bookmarkStart w:id="23" w:name="BookMark5"/>
    </w:p>
    <w:p w:rsidR="003B696B" w:rsidRDefault="003B696B" w:rsidP="003B696B">
      <w:pPr>
        <w:pStyle w:val="a7"/>
      </w:pPr>
    </w:p>
    <w:p w:rsidR="003B696B" w:rsidRDefault="003B696B" w:rsidP="003B696B">
      <w:pPr>
        <w:pStyle w:val="a9"/>
        <w:spacing w:after="120"/>
      </w:pPr>
      <w:r>
        <w:br/>
      </w:r>
      <w:r>
        <w:rPr>
          <w:rFonts w:hint="eastAsia"/>
        </w:rPr>
        <w:t>（资料性）</w:t>
      </w:r>
      <w:r>
        <w:br/>
      </w:r>
      <w:r>
        <w:rPr>
          <w:rFonts w:hint="eastAsia"/>
        </w:rPr>
        <w:t>高温高湿地区 绿色食品火龙果生产主要病虫害防治推荐农药使用方案</w:t>
      </w:r>
    </w:p>
    <w:p w:rsidR="003B696B" w:rsidRDefault="003B696B" w:rsidP="003B696B">
      <w:pPr>
        <w:pStyle w:val="afe"/>
        <w:ind w:firstLine="420"/>
      </w:pPr>
    </w:p>
    <w:p w:rsidR="003B696B" w:rsidRDefault="003B696B" w:rsidP="003B696B">
      <w:pPr>
        <w:pStyle w:val="afe"/>
        <w:ind w:firstLine="420"/>
      </w:pPr>
      <w:r w:rsidRPr="008B6473">
        <w:rPr>
          <w:rFonts w:hint="eastAsia"/>
        </w:rPr>
        <w:t>高温高湿地区绿色食品火龙果</w:t>
      </w:r>
      <w:r>
        <w:rPr>
          <w:rFonts w:hint="eastAsia"/>
        </w:rPr>
        <w:t>生产</w:t>
      </w:r>
      <w:r w:rsidRPr="008B6473">
        <w:rPr>
          <w:rFonts w:hint="eastAsia"/>
        </w:rPr>
        <w:t>主要病虫害防治推荐农药使用方案</w:t>
      </w:r>
      <w:r>
        <w:rPr>
          <w:rFonts w:hint="eastAsia"/>
        </w:rPr>
        <w:t>见表A.1。</w:t>
      </w:r>
    </w:p>
    <w:p w:rsidR="003B696B" w:rsidRDefault="003B696B" w:rsidP="003B696B">
      <w:pPr>
        <w:pStyle w:val="a8"/>
        <w:spacing w:before="120" w:after="120"/>
      </w:pPr>
      <w:r>
        <w:rPr>
          <w:rFonts w:hint="eastAsia"/>
        </w:rPr>
        <w:t>高温高湿地区 绿色食品火龙果生产主要病虫害防治推荐农药使用方案</w:t>
      </w:r>
    </w:p>
    <w:tbl>
      <w:tblPr>
        <w:tblW w:w="553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36"/>
        <w:gridCol w:w="1783"/>
        <w:gridCol w:w="2714"/>
        <w:gridCol w:w="1827"/>
        <w:gridCol w:w="1146"/>
        <w:gridCol w:w="1837"/>
      </w:tblGrid>
      <w:tr w:rsidR="003B696B" w:rsidTr="007F1DE4">
        <w:trPr>
          <w:cantSplit/>
          <w:trHeight w:val="26"/>
          <w:jc w:val="center"/>
        </w:trPr>
        <w:tc>
          <w:tcPr>
            <w:tcW w:w="5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B696B" w:rsidRDefault="003B696B" w:rsidP="007F1DE4">
            <w:pPr>
              <w:pStyle w:val="aff4"/>
              <w:ind w:firstLineChars="0" w:firstLine="0"/>
              <w:jc w:val="center"/>
              <w:rPr>
                <w:rFonts w:hAnsi="宋体"/>
                <w:i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iCs/>
                <w:color w:val="000000"/>
                <w:sz w:val="18"/>
                <w:szCs w:val="18"/>
              </w:rPr>
              <w:t>防治对象</w:t>
            </w:r>
          </w:p>
        </w:tc>
        <w:tc>
          <w:tcPr>
            <w:tcW w:w="86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i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iCs/>
                <w:color w:val="000000"/>
                <w:sz w:val="18"/>
                <w:szCs w:val="18"/>
              </w:rPr>
              <w:t>防治时期</w:t>
            </w:r>
          </w:p>
        </w:tc>
        <w:tc>
          <w:tcPr>
            <w:tcW w:w="131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i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iCs/>
                <w:color w:val="000000"/>
                <w:sz w:val="18"/>
                <w:szCs w:val="18"/>
              </w:rPr>
              <w:t>农药名称、剂型和含量</w:t>
            </w:r>
          </w:p>
        </w:tc>
        <w:tc>
          <w:tcPr>
            <w:tcW w:w="88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i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iCs/>
                <w:color w:val="000000"/>
                <w:sz w:val="18"/>
                <w:szCs w:val="18"/>
              </w:rPr>
              <w:t>稀释倍数</w:t>
            </w:r>
          </w:p>
        </w:tc>
        <w:tc>
          <w:tcPr>
            <w:tcW w:w="55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i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iCs/>
                <w:color w:val="000000"/>
                <w:sz w:val="18"/>
                <w:szCs w:val="18"/>
              </w:rPr>
              <w:t>施药方法</w:t>
            </w:r>
          </w:p>
        </w:tc>
        <w:tc>
          <w:tcPr>
            <w:tcW w:w="8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B696B" w:rsidRDefault="003B696B" w:rsidP="007F1DE4">
            <w:pPr>
              <w:snapToGrid w:val="0"/>
              <w:jc w:val="center"/>
              <w:rPr>
                <w:rFonts w:hAnsi="宋体"/>
                <w:i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安全间隔期（d）/每季最多使用次数（次）</w:t>
            </w:r>
          </w:p>
        </w:tc>
      </w:tr>
      <w:tr w:rsidR="003B696B" w:rsidTr="007F1DE4">
        <w:trPr>
          <w:cantSplit/>
          <w:trHeight w:val="26"/>
          <w:jc w:val="center"/>
        </w:trPr>
        <w:tc>
          <w:tcPr>
            <w:tcW w:w="501" w:type="pct"/>
            <w:vMerge w:val="restart"/>
            <w:tcBorders>
              <w:top w:val="single" w:sz="6" w:space="0" w:color="auto"/>
            </w:tcBorders>
            <w:vAlign w:val="center"/>
          </w:tcPr>
          <w:p w:rsidR="003B696B" w:rsidRDefault="003B696B" w:rsidP="007F1DE4">
            <w:pPr>
              <w:pStyle w:val="aff4"/>
              <w:ind w:firstLineChars="0" w:firstLine="0"/>
              <w:jc w:val="center"/>
              <w:rPr>
                <w:rFonts w:hAnsi="宋体"/>
                <w:i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iCs/>
                <w:color w:val="000000"/>
                <w:sz w:val="18"/>
                <w:szCs w:val="18"/>
              </w:rPr>
              <w:t>溃疡病</w:t>
            </w:r>
          </w:p>
        </w:tc>
        <w:tc>
          <w:tcPr>
            <w:tcW w:w="862" w:type="pct"/>
            <w:vMerge w:val="restart"/>
            <w:tcBorders>
              <w:top w:val="single" w:sz="6" w:space="0" w:color="auto"/>
            </w:tcBorders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i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抽生嫩芽到开花结果期</w:t>
            </w:r>
          </w:p>
        </w:tc>
        <w:tc>
          <w:tcPr>
            <w:tcW w:w="1312" w:type="pct"/>
            <w:tcBorders>
              <w:top w:val="single" w:sz="6" w:space="0" w:color="auto"/>
            </w:tcBorders>
            <w:vAlign w:val="center"/>
          </w:tcPr>
          <w:p w:rsidR="003B696B" w:rsidRDefault="003B696B" w:rsidP="007F1DE4">
            <w:pPr>
              <w:widowControl/>
              <w:autoSpaceDE w:val="0"/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30％吡唑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醚菌酯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悬浮剂</w:t>
            </w:r>
          </w:p>
        </w:tc>
        <w:tc>
          <w:tcPr>
            <w:tcW w:w="883" w:type="pct"/>
            <w:tcBorders>
              <w:top w:val="single" w:sz="6" w:space="0" w:color="auto"/>
            </w:tcBorders>
            <w:vAlign w:val="center"/>
          </w:tcPr>
          <w:p w:rsidR="003B696B" w:rsidRDefault="003B696B" w:rsidP="007F1DE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500～2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000倍液</w:t>
            </w:r>
          </w:p>
        </w:tc>
        <w:tc>
          <w:tcPr>
            <w:tcW w:w="554" w:type="pct"/>
            <w:vMerge w:val="restart"/>
            <w:tcBorders>
              <w:top w:val="single" w:sz="6" w:space="0" w:color="auto"/>
            </w:tcBorders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i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喷雾</w:t>
            </w:r>
          </w:p>
        </w:tc>
        <w:tc>
          <w:tcPr>
            <w:tcW w:w="888" w:type="pct"/>
            <w:tcBorders>
              <w:top w:val="single" w:sz="6" w:space="0" w:color="auto"/>
            </w:tcBorders>
            <w:vAlign w:val="center"/>
          </w:tcPr>
          <w:p w:rsidR="003B696B" w:rsidRDefault="003B696B" w:rsidP="007F1DE4">
            <w:pPr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d/2次</w:t>
            </w:r>
          </w:p>
        </w:tc>
      </w:tr>
      <w:tr w:rsidR="003B696B" w:rsidTr="007F1DE4">
        <w:trPr>
          <w:cantSplit/>
          <w:trHeight w:val="26"/>
          <w:jc w:val="center"/>
        </w:trPr>
        <w:tc>
          <w:tcPr>
            <w:tcW w:w="0" w:type="auto"/>
            <w:vMerge/>
            <w:vAlign w:val="center"/>
          </w:tcPr>
          <w:p w:rsidR="003B696B" w:rsidRDefault="003B696B" w:rsidP="007F1DE4">
            <w:pPr>
              <w:widowControl/>
              <w:jc w:val="left"/>
              <w:rPr>
                <w:rFonts w:ascii="宋体" w:hAnsi="宋体"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B696B" w:rsidRDefault="003B696B" w:rsidP="007F1DE4">
            <w:pPr>
              <w:widowControl/>
              <w:jc w:val="left"/>
              <w:rPr>
                <w:rFonts w:ascii="宋体" w:hAnsi="宋体"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2" w:type="pct"/>
            <w:vAlign w:val="center"/>
          </w:tcPr>
          <w:p w:rsidR="003B696B" w:rsidRDefault="003B696B" w:rsidP="007F1DE4">
            <w:pPr>
              <w:widowControl/>
              <w:autoSpaceDE w:val="0"/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46％氢氧化铜水分散粒剂</w:t>
            </w:r>
          </w:p>
        </w:tc>
        <w:tc>
          <w:tcPr>
            <w:tcW w:w="883" w:type="pct"/>
            <w:vAlign w:val="center"/>
          </w:tcPr>
          <w:p w:rsidR="003B696B" w:rsidRDefault="003B696B" w:rsidP="007F1DE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800～1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200倍液</w:t>
            </w:r>
          </w:p>
        </w:tc>
        <w:tc>
          <w:tcPr>
            <w:tcW w:w="554" w:type="pct"/>
            <w:vMerge/>
            <w:vAlign w:val="center"/>
          </w:tcPr>
          <w:p w:rsidR="003B696B" w:rsidRDefault="003B696B" w:rsidP="007F1DE4">
            <w:pPr>
              <w:widowControl/>
              <w:jc w:val="left"/>
              <w:rPr>
                <w:rFonts w:ascii="宋体" w:hAnsi="宋体"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:rsidR="003B696B" w:rsidRDefault="003B696B" w:rsidP="007F1DE4">
            <w:pPr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3B696B" w:rsidTr="007F1DE4">
        <w:trPr>
          <w:cantSplit/>
          <w:trHeight w:val="19"/>
          <w:jc w:val="center"/>
        </w:trPr>
        <w:tc>
          <w:tcPr>
            <w:tcW w:w="501" w:type="pct"/>
            <w:vMerge w:val="restart"/>
            <w:vAlign w:val="center"/>
          </w:tcPr>
          <w:p w:rsidR="003B696B" w:rsidRDefault="003B696B" w:rsidP="007F1DE4">
            <w:pPr>
              <w:pStyle w:val="aff4"/>
              <w:ind w:firstLineChars="0" w:firstLine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炭疽病</w:t>
            </w:r>
          </w:p>
        </w:tc>
        <w:tc>
          <w:tcPr>
            <w:tcW w:w="862" w:type="pct"/>
            <w:vMerge w:val="restar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果实发育期</w:t>
            </w:r>
          </w:p>
        </w:tc>
        <w:tc>
          <w:tcPr>
            <w:tcW w:w="1312" w:type="pct"/>
            <w:vAlign w:val="center"/>
          </w:tcPr>
          <w:p w:rsidR="003B696B" w:rsidRDefault="003B696B" w:rsidP="007F1DE4">
            <w:pPr>
              <w:widowControl/>
              <w:autoSpaceDE w:val="0"/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30％吡唑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醚菌酯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悬浮剂</w:t>
            </w:r>
          </w:p>
        </w:tc>
        <w:tc>
          <w:tcPr>
            <w:tcW w:w="883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200～2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000倍液</w:t>
            </w:r>
          </w:p>
        </w:tc>
        <w:tc>
          <w:tcPr>
            <w:tcW w:w="554" w:type="pct"/>
            <w:vMerge w:val="restar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喷雾</w:t>
            </w:r>
          </w:p>
        </w:tc>
        <w:tc>
          <w:tcPr>
            <w:tcW w:w="888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5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d/3次</w:t>
            </w:r>
          </w:p>
        </w:tc>
      </w:tr>
      <w:tr w:rsidR="003B696B" w:rsidTr="007F1DE4">
        <w:trPr>
          <w:cantSplit/>
          <w:trHeight w:val="19"/>
          <w:jc w:val="center"/>
        </w:trPr>
        <w:tc>
          <w:tcPr>
            <w:tcW w:w="0" w:type="auto"/>
            <w:vMerge/>
            <w:vAlign w:val="center"/>
          </w:tcPr>
          <w:p w:rsidR="003B696B" w:rsidRDefault="003B696B" w:rsidP="007F1DE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B696B" w:rsidRDefault="003B696B" w:rsidP="007F1DE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2" w:type="pct"/>
            <w:vAlign w:val="center"/>
          </w:tcPr>
          <w:p w:rsidR="003B696B" w:rsidRDefault="003B696B" w:rsidP="007F1DE4">
            <w:pPr>
              <w:widowControl/>
              <w:autoSpaceDE w:val="0"/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25％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嘧菌酯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悬浮剂</w:t>
            </w:r>
          </w:p>
        </w:tc>
        <w:tc>
          <w:tcPr>
            <w:tcW w:w="883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300～1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600倍液</w:t>
            </w:r>
          </w:p>
        </w:tc>
        <w:tc>
          <w:tcPr>
            <w:tcW w:w="554" w:type="pct"/>
            <w:vMerge/>
            <w:vAlign w:val="center"/>
          </w:tcPr>
          <w:p w:rsidR="003B696B" w:rsidRDefault="003B696B" w:rsidP="007F1DE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14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d/2次</w:t>
            </w:r>
          </w:p>
        </w:tc>
      </w:tr>
      <w:tr w:rsidR="003B696B" w:rsidTr="007F1DE4">
        <w:trPr>
          <w:cantSplit/>
          <w:trHeight w:val="545"/>
          <w:jc w:val="center"/>
        </w:trPr>
        <w:tc>
          <w:tcPr>
            <w:tcW w:w="501" w:type="pct"/>
            <w:vMerge w:val="restart"/>
            <w:vAlign w:val="center"/>
          </w:tcPr>
          <w:p w:rsidR="003B696B" w:rsidRDefault="003B696B" w:rsidP="007F1DE4">
            <w:pPr>
              <w:pStyle w:val="aff4"/>
              <w:ind w:firstLineChars="0" w:firstLine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介壳虫</w:t>
            </w:r>
          </w:p>
        </w:tc>
        <w:tc>
          <w:tcPr>
            <w:tcW w:w="862" w:type="pct"/>
            <w:vMerge w:val="restar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现蕾4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d～6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d，开花前2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d～4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d，开花后5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d～8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1312" w:type="pct"/>
            <w:vAlign w:val="center"/>
          </w:tcPr>
          <w:p w:rsidR="003B696B" w:rsidRDefault="003B696B" w:rsidP="007F1DE4">
            <w:pPr>
              <w:widowControl/>
              <w:autoSpaceDE w:val="0"/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25％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噻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虫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嗪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水分散粒剂（可兼治</w:t>
            </w:r>
            <w:proofErr w:type="gramStart"/>
            <w:r>
              <w:rPr>
                <w:rFonts w:ascii="宋体" w:hAnsi="宋体"/>
                <w:color w:val="000000"/>
                <w:sz w:val="18"/>
                <w:szCs w:val="18"/>
              </w:rPr>
              <w:t>蓟</w:t>
            </w:r>
            <w:proofErr w:type="gramEnd"/>
            <w:r>
              <w:rPr>
                <w:rFonts w:ascii="宋体" w:hAnsi="宋体"/>
                <w:color w:val="000000"/>
                <w:sz w:val="18"/>
                <w:szCs w:val="18"/>
              </w:rPr>
              <w:t>马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883" w:type="pct"/>
            <w:vAlign w:val="center"/>
          </w:tcPr>
          <w:p w:rsidR="003B696B" w:rsidRDefault="003B696B" w:rsidP="007F1DE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000～5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000倍液</w:t>
            </w:r>
          </w:p>
        </w:tc>
        <w:tc>
          <w:tcPr>
            <w:tcW w:w="554" w:type="pct"/>
            <w:vMerge w:val="restar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喷雾</w:t>
            </w:r>
          </w:p>
        </w:tc>
        <w:tc>
          <w:tcPr>
            <w:tcW w:w="888" w:type="pct"/>
            <w:vAlign w:val="center"/>
          </w:tcPr>
          <w:p w:rsidR="003B696B" w:rsidRDefault="003B696B" w:rsidP="007F1DE4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d/1次</w:t>
            </w:r>
          </w:p>
        </w:tc>
      </w:tr>
      <w:tr w:rsidR="003B696B" w:rsidTr="007F1DE4">
        <w:trPr>
          <w:cantSplit/>
          <w:trHeight w:val="19"/>
          <w:jc w:val="center"/>
        </w:trPr>
        <w:tc>
          <w:tcPr>
            <w:tcW w:w="0" w:type="auto"/>
            <w:vMerge/>
            <w:vAlign w:val="center"/>
          </w:tcPr>
          <w:p w:rsidR="003B696B" w:rsidRDefault="003B696B" w:rsidP="007F1DE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3B696B" w:rsidRDefault="003B696B" w:rsidP="007F1DE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2" w:type="pct"/>
            <w:vAlign w:val="center"/>
          </w:tcPr>
          <w:p w:rsidR="003B696B" w:rsidRDefault="003B696B" w:rsidP="007F1DE4">
            <w:pPr>
              <w:widowControl/>
              <w:autoSpaceDE w:val="0"/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25％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噻嗪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酮可湿性粉剂</w:t>
            </w:r>
          </w:p>
        </w:tc>
        <w:tc>
          <w:tcPr>
            <w:tcW w:w="883" w:type="pct"/>
            <w:vAlign w:val="center"/>
          </w:tcPr>
          <w:p w:rsidR="003B696B" w:rsidRDefault="003B696B" w:rsidP="007F1DE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000～1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500倍液</w:t>
            </w:r>
          </w:p>
        </w:tc>
        <w:tc>
          <w:tcPr>
            <w:tcW w:w="554" w:type="pct"/>
            <w:vMerge/>
            <w:vAlign w:val="center"/>
          </w:tcPr>
          <w:p w:rsidR="003B696B" w:rsidRDefault="003B696B" w:rsidP="007F1DE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:rsidR="003B696B" w:rsidRDefault="003B696B" w:rsidP="007F1DE4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d/1次</w:t>
            </w:r>
          </w:p>
        </w:tc>
      </w:tr>
      <w:tr w:rsidR="003B696B" w:rsidTr="007F1DE4">
        <w:trPr>
          <w:cantSplit/>
          <w:trHeight w:val="19"/>
          <w:jc w:val="center"/>
        </w:trPr>
        <w:tc>
          <w:tcPr>
            <w:tcW w:w="501" w:type="pct"/>
            <w:vAlign w:val="center"/>
          </w:tcPr>
          <w:p w:rsidR="003B696B" w:rsidRDefault="003B696B" w:rsidP="007F1DE4">
            <w:pPr>
              <w:pStyle w:val="aff4"/>
              <w:ind w:firstLineChars="0" w:firstLine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斜纹夜蛾</w:t>
            </w:r>
          </w:p>
        </w:tc>
        <w:tc>
          <w:tcPr>
            <w:tcW w:w="862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抽梢期，开花前和开花后，低龄幼虫发生期</w:t>
            </w:r>
          </w:p>
        </w:tc>
        <w:tc>
          <w:tcPr>
            <w:tcW w:w="1312" w:type="pct"/>
            <w:vAlign w:val="center"/>
          </w:tcPr>
          <w:p w:rsidR="003B696B" w:rsidRDefault="003B696B" w:rsidP="007F1DE4">
            <w:pPr>
              <w:widowControl/>
              <w:autoSpaceDE w:val="0"/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hAnsi="宋体" w:hint="eastAsia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g/L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氯虫苯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甲酰胺悬浮剂</w:t>
            </w:r>
          </w:p>
        </w:tc>
        <w:tc>
          <w:tcPr>
            <w:tcW w:w="883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3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000～5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000倍液</w:t>
            </w:r>
          </w:p>
        </w:tc>
        <w:tc>
          <w:tcPr>
            <w:tcW w:w="554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喷雾</w:t>
            </w:r>
          </w:p>
        </w:tc>
        <w:tc>
          <w:tcPr>
            <w:tcW w:w="888" w:type="pct"/>
            <w:vAlign w:val="center"/>
          </w:tcPr>
          <w:p w:rsidR="003B696B" w:rsidRDefault="003B696B" w:rsidP="007F1DE4">
            <w:pPr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d/1次</w:t>
            </w:r>
          </w:p>
        </w:tc>
      </w:tr>
      <w:tr w:rsidR="003B696B" w:rsidTr="007F1DE4">
        <w:trPr>
          <w:cantSplit/>
          <w:trHeight w:val="19"/>
          <w:jc w:val="center"/>
        </w:trPr>
        <w:tc>
          <w:tcPr>
            <w:tcW w:w="501" w:type="pct"/>
            <w:vAlign w:val="center"/>
          </w:tcPr>
          <w:p w:rsidR="003B696B" w:rsidRDefault="003B696B" w:rsidP="007F1DE4">
            <w:pPr>
              <w:pStyle w:val="aff4"/>
              <w:ind w:firstLineChars="0" w:firstLine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color w:val="000000"/>
                <w:sz w:val="18"/>
                <w:szCs w:val="18"/>
              </w:rPr>
              <w:t>蓟</w:t>
            </w:r>
            <w:proofErr w:type="gramEnd"/>
            <w:r>
              <w:rPr>
                <w:rFonts w:hAnsi="宋体" w:hint="eastAsia"/>
                <w:color w:val="000000"/>
                <w:sz w:val="18"/>
                <w:szCs w:val="18"/>
              </w:rPr>
              <w:t>马</w:t>
            </w:r>
          </w:p>
        </w:tc>
        <w:tc>
          <w:tcPr>
            <w:tcW w:w="862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现蕾4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d～6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d，开花前2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d～4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d，开花后5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d～8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1312" w:type="pct"/>
            <w:vAlign w:val="center"/>
          </w:tcPr>
          <w:p w:rsidR="003B696B" w:rsidRDefault="003B696B" w:rsidP="007F1DE4">
            <w:pPr>
              <w:widowControl/>
              <w:autoSpaceDE w:val="0"/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25％</w:t>
            </w:r>
            <w:proofErr w:type="gramStart"/>
            <w:r w:rsidRPr="00B67240">
              <w:rPr>
                <w:rFonts w:ascii="宋体" w:hAnsi="宋体" w:hint="eastAsia"/>
                <w:color w:val="000000"/>
                <w:sz w:val="18"/>
                <w:szCs w:val="18"/>
              </w:rPr>
              <w:t>噻</w:t>
            </w:r>
            <w:proofErr w:type="gramEnd"/>
            <w:r w:rsidRPr="00B67240">
              <w:rPr>
                <w:rFonts w:ascii="宋体" w:hAnsi="宋体" w:hint="eastAsia"/>
                <w:color w:val="000000"/>
                <w:sz w:val="18"/>
                <w:szCs w:val="18"/>
              </w:rPr>
              <w:t>虫</w:t>
            </w:r>
            <w:proofErr w:type="gramStart"/>
            <w:r w:rsidRPr="00B67240">
              <w:rPr>
                <w:rFonts w:ascii="宋体" w:hAnsi="宋体" w:hint="eastAsia"/>
                <w:color w:val="000000"/>
                <w:sz w:val="18"/>
                <w:szCs w:val="18"/>
              </w:rPr>
              <w:t>嗪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水分散粒剂</w:t>
            </w:r>
          </w:p>
        </w:tc>
        <w:tc>
          <w:tcPr>
            <w:tcW w:w="883" w:type="pct"/>
            <w:vAlign w:val="center"/>
          </w:tcPr>
          <w:p w:rsidR="003B696B" w:rsidRDefault="003B696B" w:rsidP="007F1DE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13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667</w:t>
            </w:r>
            <w:r>
              <w:rPr>
                <w:rFonts w:ascii="方正仿宋_GBK" w:hAnsi="方正仿宋_GBK"/>
                <w:color w:val="000000"/>
                <w:sz w:val="18"/>
                <w:szCs w:val="18"/>
              </w:rPr>
              <w:t>㎡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～26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667</w:t>
            </w:r>
            <w:r>
              <w:rPr>
                <w:rFonts w:ascii="方正仿宋_GBK" w:hAnsi="方正仿宋_GBK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554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喷雾</w:t>
            </w:r>
          </w:p>
        </w:tc>
        <w:tc>
          <w:tcPr>
            <w:tcW w:w="888" w:type="pct"/>
            <w:vAlign w:val="center"/>
          </w:tcPr>
          <w:p w:rsidR="003B696B" w:rsidRDefault="003B696B" w:rsidP="007F1DE4">
            <w:pPr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14</w:t>
            </w:r>
            <w:r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d/3次</w:t>
            </w:r>
          </w:p>
        </w:tc>
      </w:tr>
      <w:tr w:rsidR="003B696B" w:rsidTr="007F1DE4">
        <w:trPr>
          <w:cantSplit/>
          <w:trHeight w:val="19"/>
          <w:jc w:val="center"/>
        </w:trPr>
        <w:tc>
          <w:tcPr>
            <w:tcW w:w="501" w:type="pct"/>
            <w:vAlign w:val="center"/>
          </w:tcPr>
          <w:p w:rsidR="003B696B" w:rsidRDefault="003B696B" w:rsidP="007F1DE4">
            <w:pPr>
              <w:pStyle w:val="aff4"/>
              <w:ind w:firstLineChars="0" w:firstLine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蜗牛</w:t>
            </w:r>
          </w:p>
        </w:tc>
        <w:tc>
          <w:tcPr>
            <w:tcW w:w="862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始发期或发生高峰期之前，于傍晚或凌晨喷雾</w:t>
            </w:r>
          </w:p>
        </w:tc>
        <w:tc>
          <w:tcPr>
            <w:tcW w:w="1312" w:type="pct"/>
            <w:vAlign w:val="center"/>
          </w:tcPr>
          <w:p w:rsidR="003B696B" w:rsidRDefault="003B696B" w:rsidP="007F1DE4">
            <w:pPr>
              <w:widowControl/>
              <w:autoSpaceDE w:val="0"/>
              <w:spacing w:line="3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25％茶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麸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浸提液（自配）</w:t>
            </w:r>
          </w:p>
        </w:tc>
        <w:tc>
          <w:tcPr>
            <w:tcW w:w="883" w:type="pct"/>
            <w:vAlign w:val="center"/>
          </w:tcPr>
          <w:p w:rsidR="003B696B" w:rsidRDefault="003B696B" w:rsidP="007F1DE4">
            <w:pPr>
              <w:autoSpaceDE w:val="0"/>
              <w:autoSpaceDN w:val="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200～500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倍液</w:t>
            </w:r>
          </w:p>
        </w:tc>
        <w:tc>
          <w:tcPr>
            <w:tcW w:w="554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喷雾</w:t>
            </w:r>
          </w:p>
        </w:tc>
        <w:tc>
          <w:tcPr>
            <w:tcW w:w="888" w:type="pct"/>
            <w:vAlign w:val="center"/>
          </w:tcPr>
          <w:p w:rsidR="003B696B" w:rsidRDefault="003B696B" w:rsidP="007F1DE4">
            <w:pPr>
              <w:pStyle w:val="aff4"/>
              <w:ind w:firstLineChars="16" w:firstLine="29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30</w:t>
            </w:r>
            <w:r>
              <w:rPr>
                <w:rFonts w:hAnsi="宋体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d/3次</w:t>
            </w:r>
          </w:p>
        </w:tc>
      </w:tr>
      <w:tr w:rsidR="003B696B" w:rsidTr="007F1DE4">
        <w:trPr>
          <w:cantSplit/>
          <w:trHeight w:val="88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B696B" w:rsidRDefault="003B696B" w:rsidP="007F1DE4">
            <w:pPr>
              <w:widowControl/>
              <w:ind w:firstLineChars="200" w:firstLine="360"/>
              <w:jc w:val="left"/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注：国家新禁用或列入《限制使用农药名录》的农药自动从上述清单中删除。</w:t>
            </w:r>
          </w:p>
        </w:tc>
      </w:tr>
    </w:tbl>
    <w:p w:rsidR="003B696B" w:rsidRDefault="003B696B" w:rsidP="003B696B">
      <w:pPr>
        <w:pStyle w:val="afe"/>
        <w:ind w:firstLineChars="0" w:firstLine="0"/>
      </w:pPr>
    </w:p>
    <w:p w:rsidR="003B696B" w:rsidRDefault="003B696B" w:rsidP="003B696B">
      <w:pPr>
        <w:pStyle w:val="afe"/>
        <w:ind w:firstLineChars="0" w:firstLine="0"/>
        <w:jc w:val="center"/>
      </w:pPr>
    </w:p>
    <w:p w:rsidR="003B696B" w:rsidRDefault="003B696B" w:rsidP="003B696B">
      <w:pPr>
        <w:pStyle w:val="afe"/>
        <w:ind w:firstLineChars="0" w:firstLine="0"/>
        <w:jc w:val="center"/>
      </w:pPr>
      <w:bookmarkStart w:id="24" w:name="BookMark8"/>
      <w:bookmarkEnd w:id="23"/>
      <w:r>
        <w:rPr>
          <w:noProof/>
        </w:rPr>
        <w:drawing>
          <wp:inline distT="0" distB="0" distL="0" distR="0" wp14:anchorId="279D0834" wp14:editId="4E5068FD">
            <wp:extent cx="1485900" cy="317500"/>
            <wp:effectExtent l="0" t="0" r="0" b="635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4"/>
    </w:p>
    <w:p w:rsidR="00DD3719" w:rsidRPr="003B696B" w:rsidRDefault="00DD3719" w:rsidP="003B696B">
      <w:pPr>
        <w:jc w:val="center"/>
      </w:pPr>
    </w:p>
    <w:sectPr w:rsidR="00DD3719" w:rsidRPr="003B696B">
      <w:pgSz w:w="11906" w:h="16838"/>
      <w:pgMar w:top="1928" w:right="1134" w:bottom="1134" w:left="1134" w:header="1418" w:footer="1134" w:gutter="284"/>
      <w:cols w:space="425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4DB" w:rsidRDefault="009264DB" w:rsidP="003B696B">
      <w:r>
        <w:separator/>
      </w:r>
    </w:p>
  </w:endnote>
  <w:endnote w:type="continuationSeparator" w:id="0">
    <w:p w:rsidR="009264DB" w:rsidRDefault="009264DB" w:rsidP="003B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3EC" w:rsidRDefault="00E15425">
    <w:pPr>
      <w:pStyle w:val="afc"/>
    </w:pPr>
    <w:r>
      <w:fldChar w:fldCharType="begin"/>
    </w:r>
    <w:r>
      <w:instrText xml:space="preserve"> PAGE   \* MERGEFORMAT \* MERGEFORMAT </w:instrText>
    </w:r>
    <w:r>
      <w:fldChar w:fldCharType="separate"/>
    </w:r>
    <w:r w:rsidR="00C671B3">
      <w:rPr>
        <w:noProof/>
      </w:rPr>
      <w:t>II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96B" w:rsidRDefault="003B696B">
    <w:pPr>
      <w:pStyle w:val="afc"/>
    </w:pPr>
    <w:r>
      <w:fldChar w:fldCharType="begin"/>
    </w:r>
    <w:r>
      <w:instrText xml:space="preserve"> PAGE   \* MERGEFORMAT \* MERGEFORMAT </w:instrText>
    </w:r>
    <w:r>
      <w:fldChar w:fldCharType="separate"/>
    </w:r>
    <w:r w:rsidR="004C155B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96B" w:rsidRDefault="003B696B">
    <w:pPr>
      <w:pStyle w:val="afd"/>
    </w:pPr>
    <w:r>
      <w:fldChar w:fldCharType="begin"/>
    </w:r>
    <w:r>
      <w:instrText>PAGE   \* MERGEFORMAT</w:instrText>
    </w:r>
    <w:r>
      <w:fldChar w:fldCharType="separate"/>
    </w:r>
    <w:r w:rsidR="004C155B" w:rsidRPr="004C155B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4DB" w:rsidRDefault="009264DB" w:rsidP="003B696B">
      <w:r>
        <w:separator/>
      </w:r>
    </w:p>
  </w:footnote>
  <w:footnote w:type="continuationSeparator" w:id="0">
    <w:p w:rsidR="009264DB" w:rsidRDefault="009264DB" w:rsidP="003B6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3EC" w:rsidRDefault="009264DB">
    <w:pPr>
      <w:pStyle w:val="aff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84734" o:spid="_x0000_s2056" type="#_x0000_t75" style="position:absolute;margin-left:0;margin-top:0;width:467.65pt;height:435.85pt;z-index:-251657216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  <w:r w:rsidR="00E15425">
      <w:fldChar w:fldCharType="begin"/>
    </w:r>
    <w:r w:rsidR="00E15425">
      <w:instrText xml:space="preserve"> STYLEREF  标准文件_文件编号 \* MERGEFORMAT </w:instrText>
    </w:r>
    <w:r w:rsidR="00E15425">
      <w:fldChar w:fldCharType="separate"/>
    </w:r>
    <w:r w:rsidR="00C671B3">
      <w:rPr>
        <w:rFonts w:hint="eastAsia"/>
        <w:b/>
        <w:bCs/>
        <w:noProof/>
      </w:rPr>
      <w:t>错误!使用“开始”选项卡将 标准文件_文件编号 应用于要在此处显示的文字。</w:t>
    </w:r>
    <w:r w:rsidR="00E15425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B3" w:rsidRDefault="009264DB">
    <w:pPr>
      <w:pStyle w:val="af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84735" o:spid="_x0000_s2057" type="#_x0000_t75" style="position:absolute;left:0;text-align:left;margin-left:0;margin-top:0;width:467.65pt;height:435.85pt;z-index:-251656192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253" w:rsidRDefault="009264DB">
    <w:pPr>
      <w:pStyle w:val="af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84733" o:spid="_x0000_s2055" type="#_x0000_t75" style="position:absolute;left:0;text-align:left;margin-left:0;margin-top:0;width:467.65pt;height:435.85pt;z-index:-251658240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96B" w:rsidRDefault="009264DB">
    <w:pPr>
      <w:pStyle w:val="aff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84737" o:spid="_x0000_s2059" type="#_x0000_t75" style="position:absolute;margin-left:0;margin-top:0;width:467.65pt;height:435.85pt;z-index:-251654144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  <w:r w:rsidR="003B696B">
      <w:fldChar w:fldCharType="begin"/>
    </w:r>
    <w:r w:rsidR="003B696B">
      <w:instrText xml:space="preserve"> STYLEREF  标准文件_文件编号 \* MERGEFORMAT </w:instrText>
    </w:r>
    <w:r w:rsidR="003B696B">
      <w:fldChar w:fldCharType="separate"/>
    </w:r>
    <w:r w:rsidR="004C155B">
      <w:rPr>
        <w:rFonts w:hint="eastAsia"/>
        <w:b/>
        <w:bCs/>
        <w:noProof/>
      </w:rPr>
      <w:t>错误!使用“开始”选项卡将 标准文件_文件编号 应用于要在此处显示的文字。</w:t>
    </w:r>
    <w:r w:rsidR="003B696B"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96B" w:rsidRPr="003B696B" w:rsidRDefault="009264DB" w:rsidP="003B696B">
    <w:pPr>
      <w:pStyle w:val="af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84738" o:spid="_x0000_s2060" type="#_x0000_t75" style="position:absolute;left:0;text-align:left;margin-left:0;margin-top:0;width:467.65pt;height:435.85pt;z-index:-251653120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96B" w:rsidRDefault="009264DB">
    <w:pPr>
      <w:pStyle w:val="af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84736" o:spid="_x0000_s2058" type="#_x0000_t75" style="position:absolute;left:0;text-align:left;margin-left:0;margin-top:0;width:467.65pt;height:435.85pt;z-index:-251655168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D3FEA"/>
    <w:multiLevelType w:val="multilevel"/>
    <w:tmpl w:val="07ED3FEA"/>
    <w:lvl w:ilvl="0">
      <w:start w:val="1"/>
      <w:numFmt w:val="none"/>
      <w:pStyle w:val="a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0.%2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0.%2.%3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0.%2.%3.%4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0.%2.%3.%4.%5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0.%2.%3.%4.%5.%6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48802D1C"/>
    <w:multiLevelType w:val="multilevel"/>
    <w:tmpl w:val="48802D1C"/>
    <w:lvl w:ilvl="0">
      <w:start w:val="1"/>
      <w:numFmt w:val="upperLetter"/>
      <w:pStyle w:val="a5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a6"/>
      <w:suff w:val="space"/>
      <w:lvlText w:val="图%1.%2"/>
      <w:lvlJc w:val="center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5603797C"/>
    <w:multiLevelType w:val="multilevel"/>
    <w:tmpl w:val="5603797C"/>
    <w:lvl w:ilvl="0">
      <w:start w:val="1"/>
      <w:numFmt w:val="upperLetter"/>
      <w:pStyle w:val="a7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8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>
    <w:nsid w:val="657D3FBC"/>
    <w:multiLevelType w:val="multilevel"/>
    <w:tmpl w:val="657D3FBC"/>
    <w:lvl w:ilvl="0">
      <w:start w:val="1"/>
      <w:numFmt w:val="upperLetter"/>
      <w:pStyle w:val="a9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a"/>
      <w:suff w:val="nothing"/>
      <w:lvlText w:val="%1.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b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pStyle w:val="ac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d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e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4">
    <w:nsid w:val="6CEA2025"/>
    <w:multiLevelType w:val="multilevel"/>
    <w:tmpl w:val="6CEA2025"/>
    <w:lvl w:ilvl="0">
      <w:start w:val="1"/>
      <w:numFmt w:val="none"/>
      <w:pStyle w:val="af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f0"/>
      <w:suff w:val="nothing"/>
      <w:lvlText w:val="%1%2　"/>
      <w:lvlJc w:val="left"/>
      <w:pPr>
        <w:ind w:left="567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f1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af2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f3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f4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f5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96B"/>
    <w:rsid w:val="000F4853"/>
    <w:rsid w:val="00157C6D"/>
    <w:rsid w:val="003B696B"/>
    <w:rsid w:val="004C155B"/>
    <w:rsid w:val="00524CFA"/>
    <w:rsid w:val="008C3988"/>
    <w:rsid w:val="009264DB"/>
    <w:rsid w:val="00C671B3"/>
    <w:rsid w:val="00DD3719"/>
    <w:rsid w:val="00E15425"/>
    <w:rsid w:val="00E9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5:chartTrackingRefBased/>
  <w15:docId w15:val="{981A0C5D-EED2-46AA-ABAE-6141F2A7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6">
    <w:name w:val="Normal"/>
    <w:next w:val="2"/>
    <w:qFormat/>
    <w:rsid w:val="003B69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customStyle="1" w:styleId="1">
    <w:name w:val="列出段落1"/>
    <w:basedOn w:val="af6"/>
    <w:uiPriority w:val="99"/>
    <w:qFormat/>
    <w:rsid w:val="003B696B"/>
    <w:pPr>
      <w:ind w:firstLineChars="200" w:firstLine="420"/>
    </w:pPr>
    <w:rPr>
      <w:rFonts w:ascii="Times New Roman" w:hAnsi="Times New Roman"/>
      <w:szCs w:val="21"/>
    </w:rPr>
  </w:style>
  <w:style w:type="paragraph" w:styleId="afa">
    <w:name w:val="Body Text Indent"/>
    <w:basedOn w:val="af6"/>
    <w:link w:val="Char"/>
    <w:uiPriority w:val="99"/>
    <w:semiHidden/>
    <w:unhideWhenUsed/>
    <w:rsid w:val="003B696B"/>
    <w:pPr>
      <w:spacing w:after="120"/>
      <w:ind w:leftChars="200" w:left="420"/>
    </w:pPr>
  </w:style>
  <w:style w:type="character" w:customStyle="1" w:styleId="Char">
    <w:name w:val="正文文本缩进 Char"/>
    <w:basedOn w:val="af7"/>
    <w:link w:val="afa"/>
    <w:uiPriority w:val="99"/>
    <w:semiHidden/>
    <w:rsid w:val="003B696B"/>
    <w:rPr>
      <w:rFonts w:ascii="Calibri" w:eastAsia="宋体" w:hAnsi="Calibri" w:cs="Times New Roman"/>
    </w:rPr>
  </w:style>
  <w:style w:type="paragraph" w:styleId="2">
    <w:name w:val="Body Text First Indent 2"/>
    <w:basedOn w:val="afa"/>
    <w:link w:val="2Char"/>
    <w:uiPriority w:val="99"/>
    <w:semiHidden/>
    <w:unhideWhenUsed/>
    <w:rsid w:val="003B696B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3B696B"/>
    <w:rPr>
      <w:rFonts w:ascii="Calibri" w:eastAsia="宋体" w:hAnsi="Calibri" w:cs="Times New Roman"/>
    </w:rPr>
  </w:style>
  <w:style w:type="paragraph" w:styleId="afb">
    <w:name w:val="header"/>
    <w:basedOn w:val="af6"/>
    <w:link w:val="Char0"/>
    <w:uiPriority w:val="99"/>
    <w:qFormat/>
    <w:rsid w:val="003B696B"/>
    <w:pPr>
      <w:tabs>
        <w:tab w:val="center" w:pos="4153"/>
        <w:tab w:val="right" w:pos="8306"/>
      </w:tabs>
      <w:snapToGrid w:val="0"/>
      <w:spacing w:line="400" w:lineRule="exact"/>
      <w:jc w:val="center"/>
    </w:pPr>
    <w:rPr>
      <w:sz w:val="18"/>
      <w:szCs w:val="18"/>
    </w:rPr>
  </w:style>
  <w:style w:type="character" w:customStyle="1" w:styleId="Char0">
    <w:name w:val="页眉 Char"/>
    <w:basedOn w:val="af7"/>
    <w:link w:val="afb"/>
    <w:uiPriority w:val="99"/>
    <w:qFormat/>
    <w:rsid w:val="003B696B"/>
    <w:rPr>
      <w:rFonts w:ascii="Calibri" w:eastAsia="宋体" w:hAnsi="Calibri" w:cs="Times New Roman"/>
      <w:sz w:val="18"/>
      <w:szCs w:val="18"/>
    </w:rPr>
  </w:style>
  <w:style w:type="paragraph" w:customStyle="1" w:styleId="afc">
    <w:name w:val="标准文件_页脚偶数页"/>
    <w:qFormat/>
    <w:rsid w:val="003B696B"/>
    <w:pPr>
      <w:ind w:left="198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d">
    <w:name w:val="标准文件_页脚奇数页"/>
    <w:qFormat/>
    <w:rsid w:val="003B696B"/>
    <w:pPr>
      <w:ind w:right="227"/>
      <w:jc w:val="right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e">
    <w:name w:val="标准文件_段"/>
    <w:link w:val="Char1"/>
    <w:qFormat/>
    <w:rsid w:val="003B696B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">
    <w:name w:val="标准文件_页眉奇数页"/>
    <w:next w:val="af6"/>
    <w:qFormat/>
    <w:rsid w:val="003B696B"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 w:cs="Times New Roman"/>
      <w:kern w:val="0"/>
      <w:szCs w:val="20"/>
    </w:rPr>
  </w:style>
  <w:style w:type="paragraph" w:customStyle="1" w:styleId="aff0">
    <w:name w:val="标准文件_页眉偶数页"/>
    <w:basedOn w:val="aff"/>
    <w:next w:val="af6"/>
    <w:qFormat/>
    <w:rsid w:val="003B696B"/>
    <w:pPr>
      <w:jc w:val="left"/>
    </w:pPr>
  </w:style>
  <w:style w:type="paragraph" w:customStyle="1" w:styleId="a">
    <w:name w:val="标准文件_前言、引言标题"/>
    <w:next w:val="af6"/>
    <w:qFormat/>
    <w:rsid w:val="003B696B"/>
    <w:pPr>
      <w:numPr>
        <w:numId w:val="1"/>
      </w:numPr>
      <w:shd w:val="clear" w:color="FFFFFF" w:fill="FFFFFF"/>
      <w:spacing w:before="480" w:afterLines="150" w:after="15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character" w:customStyle="1" w:styleId="Char1">
    <w:name w:val="标准文件_段 Char"/>
    <w:link w:val="afe"/>
    <w:qFormat/>
    <w:rsid w:val="003B696B"/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标准文件_引言一级条标题"/>
    <w:basedOn w:val="afe"/>
    <w:next w:val="afe"/>
    <w:qFormat/>
    <w:rsid w:val="003B696B"/>
    <w:pPr>
      <w:numPr>
        <w:ilvl w:val="1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customStyle="1" w:styleId="a1">
    <w:name w:val="标准文件_引言二级条标题"/>
    <w:basedOn w:val="afe"/>
    <w:next w:val="afe"/>
    <w:qFormat/>
    <w:rsid w:val="003B696B"/>
    <w:pPr>
      <w:numPr>
        <w:ilvl w:val="2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customStyle="1" w:styleId="a2">
    <w:name w:val="标准文件_引言三级条标题"/>
    <w:basedOn w:val="afe"/>
    <w:next w:val="afe"/>
    <w:qFormat/>
    <w:rsid w:val="003B696B"/>
    <w:pPr>
      <w:numPr>
        <w:ilvl w:val="3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customStyle="1" w:styleId="a3">
    <w:name w:val="标准文件_引言四级条标题"/>
    <w:basedOn w:val="afe"/>
    <w:next w:val="afe"/>
    <w:qFormat/>
    <w:rsid w:val="003B696B"/>
    <w:pPr>
      <w:numPr>
        <w:ilvl w:val="4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customStyle="1" w:styleId="a4">
    <w:name w:val="标准文件_引言五级条标题"/>
    <w:basedOn w:val="afe"/>
    <w:next w:val="afe"/>
    <w:qFormat/>
    <w:rsid w:val="003B696B"/>
    <w:pPr>
      <w:numPr>
        <w:ilvl w:val="5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styleId="aff1">
    <w:name w:val="footer"/>
    <w:basedOn w:val="af6"/>
    <w:link w:val="Char2"/>
    <w:uiPriority w:val="99"/>
    <w:unhideWhenUsed/>
    <w:rsid w:val="003B6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f7"/>
    <w:link w:val="aff1"/>
    <w:uiPriority w:val="99"/>
    <w:rsid w:val="003B696B"/>
    <w:rPr>
      <w:rFonts w:ascii="Calibri" w:eastAsia="宋体" w:hAnsi="Calibri" w:cs="Times New Roman"/>
      <w:sz w:val="18"/>
      <w:szCs w:val="18"/>
    </w:rPr>
  </w:style>
  <w:style w:type="paragraph" w:customStyle="1" w:styleId="af2">
    <w:name w:val="标准文件_二级条标题"/>
    <w:next w:val="afe"/>
    <w:qFormat/>
    <w:rsid w:val="003B696B"/>
    <w:pPr>
      <w:widowControl w:val="0"/>
      <w:numPr>
        <w:ilvl w:val="3"/>
        <w:numId w:val="2"/>
      </w:numPr>
      <w:spacing w:beforeLines="50" w:before="50" w:afterLines="50" w:after="50"/>
      <w:jc w:val="both"/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9">
    <w:name w:val="标准文件_附录标识"/>
    <w:next w:val="afe"/>
    <w:qFormat/>
    <w:rsid w:val="003B696B"/>
    <w:pPr>
      <w:numPr>
        <w:numId w:val="3"/>
      </w:numPr>
      <w:shd w:val="clear" w:color="FFFFFF" w:fill="FFFFFF"/>
      <w:tabs>
        <w:tab w:val="left" w:pos="6406"/>
      </w:tabs>
      <w:spacing w:before="560" w:afterLines="50" w:after="5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8">
    <w:name w:val="标准文件_附录表标题"/>
    <w:next w:val="afe"/>
    <w:qFormat/>
    <w:rsid w:val="003B696B"/>
    <w:pPr>
      <w:numPr>
        <w:ilvl w:val="1"/>
        <w:numId w:val="4"/>
      </w:numPr>
      <w:adjustRightInd w:val="0"/>
      <w:snapToGrid w:val="0"/>
      <w:spacing w:beforeLines="50" w:before="50" w:afterLines="50" w:after="50"/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a">
    <w:name w:val="标准文件_附录一级条标题"/>
    <w:next w:val="afe"/>
    <w:qFormat/>
    <w:rsid w:val="003B696B"/>
    <w:pPr>
      <w:widowControl w:val="0"/>
      <w:numPr>
        <w:ilvl w:val="1"/>
        <w:numId w:val="3"/>
      </w:numPr>
      <w:spacing w:beforeLines="50" w:before="50" w:afterLines="50" w:after="50"/>
      <w:jc w:val="both"/>
      <w:outlineLvl w:val="2"/>
    </w:pPr>
    <w:rPr>
      <w:rFonts w:ascii="黑体" w:eastAsia="黑体" w:hAnsi="Times New Roman" w:cs="Times New Roman"/>
      <w:kern w:val="21"/>
      <w:szCs w:val="20"/>
    </w:rPr>
  </w:style>
  <w:style w:type="paragraph" w:customStyle="1" w:styleId="ab">
    <w:name w:val="标准文件_附录二级条标题"/>
    <w:basedOn w:val="aa"/>
    <w:next w:val="afe"/>
    <w:qFormat/>
    <w:rsid w:val="003B696B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ac">
    <w:name w:val="标准文件_附录三级条标题"/>
    <w:next w:val="afe"/>
    <w:qFormat/>
    <w:rsid w:val="003B696B"/>
    <w:pPr>
      <w:widowControl w:val="0"/>
      <w:numPr>
        <w:ilvl w:val="3"/>
        <w:numId w:val="3"/>
      </w:numPr>
      <w:spacing w:beforeLines="50" w:before="50" w:afterLines="50" w:after="50"/>
      <w:jc w:val="both"/>
      <w:outlineLvl w:val="4"/>
    </w:pPr>
    <w:rPr>
      <w:rFonts w:ascii="黑体" w:eastAsia="黑体" w:hAnsi="Times New Roman" w:cs="Times New Roman"/>
      <w:kern w:val="21"/>
      <w:szCs w:val="20"/>
    </w:rPr>
  </w:style>
  <w:style w:type="paragraph" w:customStyle="1" w:styleId="ad">
    <w:name w:val="标准文件_附录四级条标题"/>
    <w:next w:val="afe"/>
    <w:qFormat/>
    <w:rsid w:val="003B696B"/>
    <w:pPr>
      <w:widowControl w:val="0"/>
      <w:numPr>
        <w:ilvl w:val="4"/>
        <w:numId w:val="3"/>
      </w:numPr>
      <w:spacing w:beforeLines="50" w:before="50" w:afterLines="50" w:after="50"/>
      <w:jc w:val="both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6">
    <w:name w:val="标准文件_附录图标题"/>
    <w:next w:val="afe"/>
    <w:qFormat/>
    <w:rsid w:val="003B696B"/>
    <w:pPr>
      <w:numPr>
        <w:ilvl w:val="1"/>
        <w:numId w:val="5"/>
      </w:numPr>
      <w:adjustRightInd w:val="0"/>
      <w:snapToGrid w:val="0"/>
      <w:spacing w:beforeLines="50" w:before="50" w:afterLines="50" w:after="5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e">
    <w:name w:val="标准文件_附录五级条标题"/>
    <w:next w:val="afe"/>
    <w:qFormat/>
    <w:rsid w:val="003B696B"/>
    <w:pPr>
      <w:widowControl w:val="0"/>
      <w:numPr>
        <w:ilvl w:val="5"/>
        <w:numId w:val="3"/>
      </w:numPr>
      <w:spacing w:beforeLines="50" w:before="50" w:afterLines="50" w:after="50"/>
      <w:jc w:val="both"/>
      <w:outlineLvl w:val="6"/>
    </w:pPr>
    <w:rPr>
      <w:rFonts w:ascii="黑体" w:eastAsia="黑体" w:hAnsi="Times New Roman" w:cs="Times New Roman"/>
      <w:kern w:val="21"/>
      <w:szCs w:val="20"/>
    </w:rPr>
  </w:style>
  <w:style w:type="paragraph" w:customStyle="1" w:styleId="af3">
    <w:name w:val="标准文件_三级条标题"/>
    <w:basedOn w:val="af2"/>
    <w:next w:val="afe"/>
    <w:qFormat/>
    <w:rsid w:val="003B696B"/>
    <w:pPr>
      <w:widowControl/>
      <w:numPr>
        <w:ilvl w:val="4"/>
      </w:numPr>
      <w:outlineLvl w:val="3"/>
    </w:pPr>
  </w:style>
  <w:style w:type="paragraph" w:customStyle="1" w:styleId="af4">
    <w:name w:val="标准文件_四级条标题"/>
    <w:next w:val="afe"/>
    <w:qFormat/>
    <w:rsid w:val="003B696B"/>
    <w:pPr>
      <w:widowControl w:val="0"/>
      <w:numPr>
        <w:ilvl w:val="5"/>
        <w:numId w:val="2"/>
      </w:numPr>
      <w:spacing w:beforeLines="50" w:before="50" w:afterLines="50" w:after="50"/>
      <w:jc w:val="both"/>
      <w:outlineLvl w:val="4"/>
    </w:pPr>
    <w:rPr>
      <w:rFonts w:ascii="黑体" w:eastAsia="黑体" w:hAnsi="Times New Roman" w:cs="Times New Roman"/>
      <w:kern w:val="0"/>
      <w:szCs w:val="20"/>
    </w:rPr>
  </w:style>
  <w:style w:type="paragraph" w:customStyle="1" w:styleId="af5">
    <w:name w:val="标准文件_五级条标题"/>
    <w:next w:val="afe"/>
    <w:qFormat/>
    <w:rsid w:val="003B696B"/>
    <w:pPr>
      <w:widowControl w:val="0"/>
      <w:numPr>
        <w:ilvl w:val="6"/>
        <w:numId w:val="2"/>
      </w:numPr>
      <w:spacing w:beforeLines="50" w:before="50" w:afterLines="50" w:after="50"/>
      <w:jc w:val="both"/>
      <w:outlineLvl w:val="5"/>
    </w:pPr>
    <w:rPr>
      <w:rFonts w:ascii="黑体" w:eastAsia="黑体" w:hAnsi="Times New Roman" w:cs="Times New Roman"/>
      <w:kern w:val="0"/>
      <w:szCs w:val="20"/>
    </w:rPr>
  </w:style>
  <w:style w:type="paragraph" w:customStyle="1" w:styleId="af0">
    <w:name w:val="标准文件_章标题"/>
    <w:next w:val="afe"/>
    <w:qFormat/>
    <w:rsid w:val="003B696B"/>
    <w:pPr>
      <w:numPr>
        <w:ilvl w:val="1"/>
        <w:numId w:val="2"/>
      </w:numPr>
      <w:spacing w:beforeLines="100" w:before="100" w:afterLines="100" w:after="100"/>
      <w:jc w:val="both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1">
    <w:name w:val="标准文件_一级条标题"/>
    <w:basedOn w:val="af0"/>
    <w:next w:val="afe"/>
    <w:qFormat/>
    <w:rsid w:val="003B696B"/>
    <w:pPr>
      <w:numPr>
        <w:ilvl w:val="2"/>
      </w:numPr>
      <w:spacing w:beforeLines="50" w:before="50" w:afterLines="50" w:after="50"/>
      <w:outlineLvl w:val="1"/>
    </w:pPr>
  </w:style>
  <w:style w:type="paragraph" w:customStyle="1" w:styleId="af">
    <w:name w:val="前言标题"/>
    <w:next w:val="af6"/>
    <w:qFormat/>
    <w:rsid w:val="003B696B"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f2">
    <w:name w:val="标准文件_正文标准名称"/>
    <w:qFormat/>
    <w:rsid w:val="003B696B"/>
    <w:pPr>
      <w:spacing w:before="560" w:after="640" w:line="400" w:lineRule="exact"/>
      <w:jc w:val="center"/>
    </w:pPr>
    <w:rPr>
      <w:rFonts w:ascii="黑体" w:eastAsia="黑体" w:hAnsi="黑体" w:cs="Times New Roman"/>
      <w:sz w:val="32"/>
      <w:szCs w:val="32"/>
    </w:rPr>
  </w:style>
  <w:style w:type="paragraph" w:customStyle="1" w:styleId="a5">
    <w:name w:val="标准文件_附录图标号"/>
    <w:basedOn w:val="afe"/>
    <w:next w:val="afe"/>
    <w:qFormat/>
    <w:rsid w:val="003B696B"/>
    <w:pPr>
      <w:numPr>
        <w:numId w:val="5"/>
      </w:numPr>
      <w:spacing w:line="14" w:lineRule="exact"/>
      <w:ind w:firstLineChars="0" w:firstLine="0"/>
      <w:jc w:val="center"/>
    </w:pPr>
    <w:rPr>
      <w:rFonts w:ascii="黑体" w:eastAsia="黑体" w:hAnsi="黑体"/>
      <w:vanish/>
      <w:sz w:val="2"/>
      <w:szCs w:val="21"/>
    </w:rPr>
  </w:style>
  <w:style w:type="paragraph" w:customStyle="1" w:styleId="a7">
    <w:name w:val="标准文件_附录表标号"/>
    <w:basedOn w:val="afe"/>
    <w:next w:val="afe"/>
    <w:qFormat/>
    <w:rsid w:val="003B696B"/>
    <w:pPr>
      <w:numPr>
        <w:numId w:val="4"/>
      </w:numPr>
      <w:spacing w:line="14" w:lineRule="exact"/>
      <w:ind w:firstLineChars="0" w:firstLine="0"/>
      <w:jc w:val="center"/>
    </w:pPr>
    <w:rPr>
      <w:rFonts w:eastAsia="黑体"/>
      <w:vanish/>
      <w:sz w:val="2"/>
    </w:rPr>
  </w:style>
  <w:style w:type="paragraph" w:customStyle="1" w:styleId="aff3">
    <w:name w:val="标准文件_术语条一"/>
    <w:basedOn w:val="af6"/>
    <w:next w:val="afe"/>
    <w:qFormat/>
    <w:rsid w:val="003B696B"/>
    <w:pPr>
      <w:widowControl/>
    </w:pPr>
    <w:rPr>
      <w:rFonts w:ascii="宋体" w:hAnsi="Times New Roman"/>
      <w:kern w:val="0"/>
      <w:szCs w:val="20"/>
    </w:rPr>
  </w:style>
  <w:style w:type="paragraph" w:customStyle="1" w:styleId="aff4">
    <w:name w:val="段"/>
    <w:basedOn w:val="af6"/>
    <w:qFormat/>
    <w:rsid w:val="003B696B"/>
    <w:pPr>
      <w:widowControl/>
      <w:autoSpaceDE w:val="0"/>
      <w:autoSpaceDN w:val="0"/>
      <w:ind w:firstLineChars="200" w:firstLine="420"/>
    </w:pPr>
    <w:rPr>
      <w:rFonts w:ascii="宋体" w:hAnsi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56B2309B73745D7A69C022F132319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98B007D-2C23-4EB2-AD2D-254CE463AF3F}"/>
      </w:docPartPr>
      <w:docPartBody>
        <w:p w:rsidR="00AE165C" w:rsidRDefault="00FD3D55" w:rsidP="00FD3D55">
          <w:pPr>
            <w:pStyle w:val="C56B2309B73745D7A69C022F13231987"/>
          </w:pPr>
          <w:r>
            <w:rPr>
              <w:rStyle w:val="a3"/>
              <w:rFonts w:hint="eastAsia"/>
            </w:rPr>
            <w:t>单击或点击此处输入文字。</w:t>
          </w:r>
        </w:p>
      </w:docPartBody>
    </w:docPart>
    <w:docPart>
      <w:docPartPr>
        <w:name w:val="756BA2B6E5B54A29BD2FF3EB2FE1563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09415D7-4390-498A-BF52-63A8304EB3EA}"/>
      </w:docPartPr>
      <w:docPartBody>
        <w:p w:rsidR="00AE165C" w:rsidRDefault="00FD3D55" w:rsidP="00FD3D55">
          <w:pPr>
            <w:pStyle w:val="756BA2B6E5B54A29BD2FF3EB2FE15631"/>
          </w:pPr>
          <w:r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55"/>
    <w:rsid w:val="00271BAF"/>
    <w:rsid w:val="0088111B"/>
    <w:rsid w:val="00AE165C"/>
    <w:rsid w:val="00C30DF5"/>
    <w:rsid w:val="00CA224F"/>
    <w:rsid w:val="00FD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sid w:val="00FD3D55"/>
    <w:rPr>
      <w:color w:val="808080"/>
    </w:rPr>
  </w:style>
  <w:style w:type="paragraph" w:customStyle="1" w:styleId="C56B2309B73745D7A69C022F13231987">
    <w:name w:val="C56B2309B73745D7A69C022F13231987"/>
    <w:rsid w:val="00FD3D55"/>
    <w:pPr>
      <w:widowControl w:val="0"/>
      <w:jc w:val="both"/>
    </w:pPr>
  </w:style>
  <w:style w:type="paragraph" w:customStyle="1" w:styleId="84578FB6CA2B45C6AE7826E5F4DD14A4">
    <w:name w:val="84578FB6CA2B45C6AE7826E5F4DD14A4"/>
    <w:rsid w:val="00FD3D55"/>
    <w:pPr>
      <w:widowControl w:val="0"/>
      <w:jc w:val="both"/>
    </w:pPr>
  </w:style>
  <w:style w:type="paragraph" w:customStyle="1" w:styleId="756BA2B6E5B54A29BD2FF3EB2FE15631">
    <w:name w:val="756BA2B6E5B54A29BD2FF3EB2FE15631"/>
    <w:rsid w:val="00FD3D55"/>
    <w:pPr>
      <w:widowControl w:val="0"/>
      <w:jc w:val="both"/>
    </w:pPr>
  </w:style>
  <w:style w:type="paragraph" w:customStyle="1" w:styleId="57B1709243874AF886CFFC7D86FF131D">
    <w:name w:val="57B1709243874AF886CFFC7D86FF131D"/>
    <w:rsid w:val="00FD3D5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1052</Words>
  <Characters>6000</Characters>
  <Application>Microsoft Office Word</Application>
  <DocSecurity>0</DocSecurity>
  <Lines>50</Lines>
  <Paragraphs>14</Paragraphs>
  <ScaleCrop>false</ScaleCrop>
  <Company>Microsoft</Company>
  <LinksUpToDate>false</LinksUpToDate>
  <CharactersWithSpaces>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马雪</dc:creator>
  <cp:keywords/>
  <dc:description/>
  <cp:lastModifiedBy>马雪</cp:lastModifiedBy>
  <cp:revision>5</cp:revision>
  <dcterms:created xsi:type="dcterms:W3CDTF">2025-03-20T01:54:00Z</dcterms:created>
  <dcterms:modified xsi:type="dcterms:W3CDTF">2025-04-03T08:42:00Z</dcterms:modified>
</cp:coreProperties>
</file>