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BB" w:rsidRDefault="00EE35D6">
      <w:pPr>
        <w:pStyle w:val="af"/>
        <w:tabs>
          <w:tab w:val="left" w:pos="0"/>
        </w:tabs>
        <w:spacing w:line="400" w:lineRule="atLeast"/>
        <w:ind w:left="480" w:firstLineChars="0" w:firstLine="0"/>
        <w:contextualSpacing/>
        <w:rPr>
          <w:rFonts w:ascii="宋体" w:cs="宋体"/>
          <w:b/>
          <w:color w:val="000000"/>
          <w:sz w:val="28"/>
          <w:szCs w:val="28"/>
        </w:rPr>
      </w:pPr>
      <w:r>
        <w:rPr>
          <w:rFonts w:ascii="宋体" w:hAnsi="宋体" w:cs="宋体"/>
          <w:b/>
          <w:color w:val="000000"/>
          <w:sz w:val="28"/>
          <w:szCs w:val="28"/>
        </w:rPr>
        <w:t xml:space="preserve"> </w: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color w:val="000000"/>
          <w:sz w:val="44"/>
          <w:szCs w:val="44"/>
        </w:rPr>
      </w:pPr>
    </w:p>
    <w:p w:rsidR="00165ABB" w:rsidRDefault="00EE35D6" w:rsidP="007068F3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color w:val="000000"/>
          <w:sz w:val="48"/>
          <w:szCs w:val="48"/>
        </w:rPr>
      </w:pPr>
      <w:r>
        <w:rPr>
          <w:rFonts w:ascii="黑体" w:eastAsia="黑体" w:hAnsi="黑体" w:cs="宋体" w:hint="eastAsia"/>
          <w:color w:val="000000"/>
          <w:sz w:val="48"/>
          <w:szCs w:val="48"/>
        </w:rPr>
        <w:t>绿色食品生产操作规程</w:t>
      </w:r>
    </w:p>
    <w:p w:rsidR="00165ABB" w:rsidRDefault="00EE35D6" w:rsidP="007068F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 xml:space="preserve">LB/T 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130</w:t>
      </w:r>
      <w:r>
        <w:rPr>
          <w:rFonts w:ascii="黑体" w:eastAsia="黑体" w:hAnsi="黑体" w:cs="宋体"/>
          <w:color w:val="000000"/>
          <w:sz w:val="28"/>
          <w:szCs w:val="28"/>
        </w:rPr>
        <w:t>-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2020</w:t>
      </w:r>
    </w:p>
    <w:p w:rsidR="00165ABB" w:rsidRDefault="003F05EC" w:rsidP="007068F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color w:val="000000"/>
          <w:sz w:val="28"/>
          <w:szCs w:val="28"/>
        </w:rPr>
      </w:pPr>
      <w:r w:rsidRPr="003F05E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1" o:connectortype="straight"/>
        </w:pic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EE35D6" w:rsidP="007068F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48"/>
          <w:szCs w:val="48"/>
        </w:rPr>
      </w:pPr>
      <w:r>
        <w:rPr>
          <w:rFonts w:ascii="黑体" w:eastAsia="黑体" w:hAnsi="黑体" w:cs="宋体" w:hint="eastAsia"/>
          <w:color w:val="000000"/>
          <w:sz w:val="48"/>
          <w:szCs w:val="48"/>
        </w:rPr>
        <w:t>长江流域</w:t>
      </w:r>
    </w:p>
    <w:p w:rsidR="00165ABB" w:rsidRDefault="00165ABB" w:rsidP="007068F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18"/>
          <w:szCs w:val="18"/>
        </w:rPr>
      </w:pPr>
    </w:p>
    <w:p w:rsidR="00165ABB" w:rsidRDefault="00EE35D6" w:rsidP="007068F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</w:t>
      </w:r>
      <w:r>
        <w:rPr>
          <w:rFonts w:ascii="黑体" w:eastAsia="黑体" w:hAnsi="黑体" w:cs="宋体" w:hint="eastAsia"/>
          <w:color w:val="000000"/>
          <w:sz w:val="48"/>
          <w:szCs w:val="48"/>
        </w:rPr>
        <w:t>露地西瓜</w:t>
      </w:r>
      <w:r>
        <w:rPr>
          <w:rFonts w:ascii="黑体" w:eastAsia="黑体" w:hAnsi="黑体" w:hint="eastAsia"/>
          <w:color w:val="000000"/>
          <w:sz w:val="48"/>
          <w:szCs w:val="48"/>
        </w:rPr>
        <w:t>生产操作规程</w: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EE35D6" w:rsidP="007068F3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黑体" w:eastAsia="黑体" w:hAnsi="黑体" w:cs="宋体"/>
          <w:color w:val="000000"/>
          <w:sz w:val="28"/>
          <w:szCs w:val="28"/>
        </w:rPr>
        <w:t>20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20</w:t>
      </w:r>
      <w:r>
        <w:rPr>
          <w:rFonts w:ascii="黑体" w:eastAsia="黑体" w:hAnsi="黑体" w:cs="宋体"/>
          <w:color w:val="000000"/>
          <w:sz w:val="28"/>
          <w:szCs w:val="28"/>
        </w:rPr>
        <w:t>-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08</w:t>
      </w:r>
      <w:r>
        <w:rPr>
          <w:rFonts w:ascii="黑体" w:eastAsia="黑体" w:hAnsi="黑体" w:cs="宋体"/>
          <w:color w:val="000000"/>
          <w:sz w:val="28"/>
          <w:szCs w:val="28"/>
        </w:rPr>
        <w:t>-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20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发布</w:t>
      </w:r>
      <w:r>
        <w:rPr>
          <w:rFonts w:ascii="黑体" w:eastAsia="黑体" w:hAnsi="黑体" w:cs="宋体"/>
          <w:color w:val="000000"/>
          <w:sz w:val="28"/>
          <w:szCs w:val="28"/>
        </w:rPr>
        <w:t xml:space="preserve">          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 xml:space="preserve">       </w:t>
      </w:r>
      <w:r>
        <w:rPr>
          <w:rFonts w:ascii="黑体" w:eastAsia="黑体" w:hAnsi="黑体" w:cs="宋体"/>
          <w:color w:val="000000"/>
          <w:sz w:val="28"/>
          <w:szCs w:val="28"/>
        </w:rPr>
        <w:t xml:space="preserve">    20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20</w:t>
      </w:r>
      <w:r>
        <w:rPr>
          <w:rFonts w:ascii="黑体" w:eastAsia="黑体" w:hAnsi="黑体" w:cs="宋体"/>
          <w:color w:val="000000"/>
          <w:sz w:val="28"/>
          <w:szCs w:val="28"/>
        </w:rPr>
        <w:t>-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11</w:t>
      </w:r>
      <w:r>
        <w:rPr>
          <w:rFonts w:ascii="黑体" w:eastAsia="黑体" w:hAnsi="黑体" w:cs="宋体"/>
          <w:color w:val="000000"/>
          <w:sz w:val="28"/>
          <w:szCs w:val="28"/>
        </w:rPr>
        <w:t>-</w:t>
      </w:r>
      <w:r w:rsidR="007068F3">
        <w:rPr>
          <w:rFonts w:ascii="黑体" w:eastAsia="黑体" w:hAnsi="黑体" w:cs="宋体" w:hint="eastAsia"/>
          <w:color w:val="000000"/>
          <w:sz w:val="28"/>
          <w:szCs w:val="28"/>
        </w:rPr>
        <w:t>01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实施</w:t>
      </w:r>
    </w:p>
    <w:p w:rsidR="00165ABB" w:rsidRDefault="003F05EC" w:rsidP="007068F3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color w:val="000000"/>
          <w:sz w:val="24"/>
          <w:szCs w:val="24"/>
        </w:rPr>
      </w:pPr>
      <w:r w:rsidRPr="003F05EC">
        <w:pict>
          <v:shape id="_x0000_s1027" type="#_x0000_t32" style="position:absolute;left:0;text-align:left;margin-left:16.2pt;margin-top:9pt;width:382.2pt;height:1.2pt;z-index:2" o:connectortype="straight"/>
        </w:pict>
      </w:r>
    </w:p>
    <w:p w:rsidR="00165ABB" w:rsidRDefault="00EE35D6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28"/>
          <w:szCs w:val="28"/>
        </w:rPr>
      </w:pPr>
      <w:r>
        <w:rPr>
          <w:rFonts w:ascii="华文中宋" w:eastAsia="华文中宋" w:hAnsi="华文中宋" w:cs="宋体" w:hint="eastAsia"/>
          <w:color w:val="000000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color w:val="000000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/>
          <w:color w:val="000000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发</w:t>
      </w:r>
      <w:r>
        <w:rPr>
          <w:rFonts w:ascii="黑体" w:eastAsia="黑体" w:hAnsi="黑体" w:cs="宋体"/>
          <w:color w:val="000000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color w:val="000000"/>
          <w:sz w:val="28"/>
          <w:szCs w:val="28"/>
        </w:rPr>
        <w:t>布</w: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</w:p>
    <w:p w:rsidR="00165ABB" w:rsidRDefault="00EE35D6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t>前</w:t>
      </w:r>
      <w:r>
        <w:rPr>
          <w:rFonts w:ascii="黑体" w:eastAsia="黑体" w:hAnsi="黑体" w:cs="宋体"/>
          <w:color w:val="00000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color w:val="000000"/>
          <w:sz w:val="32"/>
          <w:szCs w:val="32"/>
        </w:rPr>
        <w:t>言</w: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65ABB" w:rsidRDefault="00EE35D6" w:rsidP="007068F3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  <w:color w:val="000000"/>
        </w:rPr>
        <w:t>本</w:t>
      </w:r>
      <w:r>
        <w:rPr>
          <w:rFonts w:ascii="宋体" w:hAnsi="宋体" w:cs="宋体" w:hint="eastAsia"/>
        </w:rPr>
        <w:t>规程由中国绿色食品发展中心提出并归口。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本规程起草单位：湖南省绿色食品办公室、衡阳市蔬菜研究所、湖南农业大学、衡阳市德丰源种业有限责任公司、江苏省东台市农业农村局、安徽省绿色食品管理办公室。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本规程主要起草人：朱建湘、余席茂、孙小武、唐锷、闵岳灵、刘丽辉、王月胜、谭美丽、肖昌华、刘小安、袁江、高照荣。</w:t>
      </w: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165ABB" w:rsidP="007068F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color w:val="000000"/>
          <w:sz w:val="28"/>
          <w:szCs w:val="28"/>
        </w:rPr>
      </w:pPr>
    </w:p>
    <w:p w:rsidR="00165ABB" w:rsidRDefault="00EE35D6" w:rsidP="007068F3">
      <w:pPr>
        <w:pStyle w:val="1"/>
        <w:spacing w:beforeLines="50" w:afterLines="50"/>
        <w:ind w:left="357" w:firstLineChars="0" w:firstLine="0"/>
        <w:contextualSpacing/>
        <w:jc w:val="center"/>
        <w:rPr>
          <w:rFonts w:ascii="黑体" w:eastAsia="黑体" w:hAnsi="黑体" w:cs="宋体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lastRenderedPageBreak/>
        <w:t>长江流域</w:t>
      </w:r>
    </w:p>
    <w:p w:rsidR="00165ABB" w:rsidRDefault="00EE35D6" w:rsidP="007068F3">
      <w:pPr>
        <w:pStyle w:val="1"/>
        <w:spacing w:beforeLines="50" w:afterLines="50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绿色食品</w:t>
      </w:r>
      <w:r>
        <w:rPr>
          <w:rFonts w:ascii="黑体" w:eastAsia="黑体" w:hAnsi="黑体" w:cs="宋体" w:hint="eastAsia"/>
          <w:color w:val="000000"/>
          <w:sz w:val="32"/>
          <w:szCs w:val="32"/>
        </w:rPr>
        <w:t>露地西瓜</w:t>
      </w:r>
      <w:r>
        <w:rPr>
          <w:rFonts w:ascii="黑体" w:eastAsia="黑体" w:hAnsi="黑体" w:hint="eastAsia"/>
          <w:color w:val="000000"/>
          <w:sz w:val="32"/>
          <w:szCs w:val="32"/>
        </w:rPr>
        <w:t>生产操作规程</w:t>
      </w:r>
    </w:p>
    <w:p w:rsidR="00165ABB" w:rsidRDefault="00165ABB" w:rsidP="007068F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color w:val="000000"/>
          <w:sz w:val="28"/>
          <w:szCs w:val="28"/>
        </w:rPr>
      </w:pP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1 </w:t>
      </w:r>
      <w:r>
        <w:rPr>
          <w:rFonts w:ascii="黑体" w:hAnsi="黑体" w:hint="eastAsia"/>
          <w:b w:val="0"/>
          <w:szCs w:val="21"/>
        </w:rPr>
        <w:t>范围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本规程规定了长江流域绿色食品露地西瓜的产地环境、品种选择、播种育苗、整地和定植、田间管理、采收、包装、贮藏和运输、生产废弃物的处理及生产档案。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本规程适用于上海、江苏、浙江、安徽、湖北、湖南、重庆、四川、贵州、云南的绿色食品露地西瓜的生产。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2 </w:t>
      </w:r>
      <w:r>
        <w:rPr>
          <w:rFonts w:ascii="黑体" w:hAnsi="黑体" w:hint="eastAsia"/>
          <w:b w:val="0"/>
          <w:szCs w:val="21"/>
        </w:rPr>
        <w:t>规范性引用文件</w:t>
      </w:r>
    </w:p>
    <w:p w:rsidR="00165ABB" w:rsidRDefault="00EE35D6">
      <w:pPr>
        <w:pStyle w:val="1"/>
        <w:spacing w:before="50" w:after="50" w:line="400" w:lineRule="atLeast"/>
        <w:contextualSpacing/>
        <w:rPr>
          <w:rFonts w:ascii="宋体" w:cs="宋体"/>
          <w:color w:val="000000"/>
        </w:rPr>
      </w:pPr>
      <w:r>
        <w:rPr>
          <w:rFonts w:ascii="宋体" w:hAnsi="宋体" w:cs="宋体"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165ABB" w:rsidRDefault="00EE35D6">
      <w:pPr>
        <w:numPr>
          <w:ilvl w:val="0"/>
          <w:numId w:val="2"/>
        </w:numPr>
        <w:spacing w:before="50" w:after="50" w:line="400" w:lineRule="atLeas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  GB 16715.1 </w:t>
      </w:r>
      <w:r>
        <w:rPr>
          <w:rFonts w:ascii="宋体" w:hAnsi="宋体" w:hint="eastAsia"/>
          <w:color w:val="000000"/>
          <w:szCs w:val="21"/>
        </w:rPr>
        <w:t>瓜菜作物种子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>瓜类</w:t>
      </w:r>
    </w:p>
    <w:p w:rsidR="00165ABB" w:rsidRDefault="00EE35D6">
      <w:pPr>
        <w:numPr>
          <w:ilvl w:val="0"/>
          <w:numId w:val="2"/>
        </w:numPr>
        <w:spacing w:before="50" w:after="50" w:line="400" w:lineRule="atLeast"/>
        <w:rPr>
          <w:rFonts w:ascii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    GB 20287  </w:t>
      </w:r>
      <w:r>
        <w:rPr>
          <w:rFonts w:ascii="宋体" w:hAnsi="宋体" w:cs="宋体" w:hint="eastAsia"/>
          <w:color w:val="000000"/>
          <w:szCs w:val="21"/>
        </w:rPr>
        <w:t>农用微生物制剂</w:t>
      </w:r>
      <w:r>
        <w:rPr>
          <w:rFonts w:ascii="宋体" w:hAnsi="宋体"/>
          <w:color w:val="000000"/>
          <w:szCs w:val="21"/>
        </w:rPr>
        <w:t xml:space="preserve"> 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391 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产地环境质量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393 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农药使用准则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394 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肥料使用准则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  <w:lang w:val="nb-NO"/>
        </w:rPr>
        <w:t xml:space="preserve">NY/T 427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西甜瓜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658 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包装通用准则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1056  </w:t>
      </w:r>
      <w:r>
        <w:rPr>
          <w:rFonts w:ascii="宋体" w:hAnsi="宋体" w:hint="eastAsia"/>
          <w:color w:val="000000"/>
          <w:szCs w:val="21"/>
        </w:rPr>
        <w:t>绿色食品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贮藏运输准则</w:t>
      </w:r>
    </w:p>
    <w:p w:rsidR="00165ABB" w:rsidRDefault="00EE35D6">
      <w:pPr>
        <w:spacing w:before="50" w:after="50" w:line="400" w:lineRule="atLeast"/>
        <w:ind w:firstLineChars="200" w:firstLine="42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NY/T 2118  </w:t>
      </w:r>
      <w:r>
        <w:rPr>
          <w:rFonts w:ascii="宋体" w:hAnsi="宋体" w:hint="eastAsia"/>
          <w:color w:val="000000"/>
          <w:szCs w:val="21"/>
        </w:rPr>
        <w:t>蔬菜育苗基质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3 </w:t>
      </w:r>
      <w:r>
        <w:rPr>
          <w:rFonts w:ascii="黑体" w:hAnsi="黑体" w:hint="eastAsia"/>
          <w:b w:val="0"/>
          <w:szCs w:val="21"/>
        </w:rPr>
        <w:t>产地环境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生产基地环境应符合</w:t>
      </w:r>
      <w:r>
        <w:rPr>
          <w:rFonts w:ascii="宋体" w:hAnsi="宋体" w:cs="宋体"/>
        </w:rPr>
        <w:t xml:space="preserve"> NY/T 391</w:t>
      </w:r>
      <w:r>
        <w:rPr>
          <w:rFonts w:ascii="宋体" w:hAnsi="宋体" w:cs="宋体" w:hint="eastAsia"/>
        </w:rPr>
        <w:t>的规定；选择连续三年未种植过瓜类作物，土质疏松肥沃，排灌便利；基地相对集中连片，距离公路主干线</w:t>
      </w:r>
      <w:r>
        <w:rPr>
          <w:rFonts w:ascii="宋体" w:hAnsi="宋体" w:cs="宋体"/>
        </w:rPr>
        <w:t>100m</w:t>
      </w:r>
      <w:r>
        <w:rPr>
          <w:rFonts w:ascii="宋体" w:hAnsi="宋体" w:cs="宋体" w:hint="eastAsia"/>
        </w:rPr>
        <w:t>以上，交通便利。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4 </w:t>
      </w:r>
      <w:r>
        <w:rPr>
          <w:rFonts w:ascii="黑体" w:hAnsi="黑体" w:hint="eastAsia"/>
          <w:b w:val="0"/>
          <w:szCs w:val="21"/>
        </w:rPr>
        <w:t>品种选择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4.1</w:t>
      </w:r>
      <w:r>
        <w:rPr>
          <w:rFonts w:ascii="黑体" w:hAnsi="黑体" w:hint="eastAsia"/>
          <w:b w:val="0"/>
          <w:szCs w:val="21"/>
        </w:rPr>
        <w:t>品种选用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适合南方露地种植的西瓜分有籽红瓤、有籽黄瓤、无籽红瓤、无籽黄瓤等四大类型。生产者应根据市场消费习惯、上市档期，选择已通过本省和国家品种审定或登记、适合本区域生态气候特点、生长势强、耐热、耐湿、抗病、产量高、品质口感及商品性好的品种，推荐</w:t>
      </w:r>
      <w:r>
        <w:rPr>
          <w:rFonts w:ascii="宋体" w:hAnsi="宋体" w:cs="宋体" w:hint="eastAsia"/>
        </w:rPr>
        <w:lastRenderedPageBreak/>
        <w:t>选用以下品种：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有籽红瓤类型：西农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号、黑美人、雪峰早蜜、丰乐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号、甜王等；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有籽黄瓤类型：黄小玉、金童、安生黄美人等；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无籽红瓤类型：洞庭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号、雪峰花皮、黑马王子、墨童等；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无籽黄瓤类型：洞庭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号、大玉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号、金兰无籽西瓜等。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采用嫁接育苗的，砧木根据生产季节和栽培需要，选用抗病、亲和性强的葫芦、南瓜和野生西瓜。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4.2</w:t>
      </w:r>
      <w:r>
        <w:rPr>
          <w:rFonts w:ascii="黑体" w:hAnsi="黑体" w:hint="eastAsia"/>
          <w:b w:val="0"/>
          <w:szCs w:val="21"/>
        </w:rPr>
        <w:t>种子质量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种子质量应符合</w:t>
      </w:r>
      <w:r>
        <w:rPr>
          <w:rFonts w:ascii="宋体" w:hAnsi="宋体" w:cs="宋体"/>
        </w:rPr>
        <w:t xml:space="preserve">GB/T 16715.1 </w:t>
      </w:r>
      <w:r>
        <w:rPr>
          <w:rFonts w:ascii="宋体" w:hAnsi="宋体" w:cs="宋体" w:hint="eastAsia"/>
        </w:rPr>
        <w:t>中一级良种以上的标准。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  </w:t>
      </w:r>
      <w:r>
        <w:rPr>
          <w:rFonts w:ascii="黑体" w:hAnsi="黑体" w:hint="eastAsia"/>
          <w:b w:val="0"/>
          <w:szCs w:val="21"/>
        </w:rPr>
        <w:t>播种育苗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bookmarkStart w:id="0" w:name="_Toc6561"/>
      <w:bookmarkStart w:id="1" w:name="_Toc2325"/>
      <w:bookmarkStart w:id="2" w:name="_Toc29861"/>
      <w:r>
        <w:rPr>
          <w:rFonts w:ascii="黑体" w:hAnsi="黑体"/>
          <w:b w:val="0"/>
          <w:szCs w:val="21"/>
        </w:rPr>
        <w:t xml:space="preserve">5.1 </w:t>
      </w:r>
      <w:r>
        <w:rPr>
          <w:rFonts w:ascii="黑体" w:hAnsi="黑体" w:hint="eastAsia"/>
          <w:b w:val="0"/>
          <w:szCs w:val="21"/>
        </w:rPr>
        <w:t>播种量</w:t>
      </w:r>
      <w:bookmarkEnd w:id="0"/>
      <w:bookmarkEnd w:id="1"/>
      <w:bookmarkEnd w:id="2"/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南方露地西瓜基本采用地爬式栽培，一般每亩定植</w:t>
      </w:r>
      <w:r>
        <w:rPr>
          <w:rFonts w:ascii="宋体" w:hAnsi="宋体" w:cs="宋体"/>
        </w:rPr>
        <w:t>30</w:t>
      </w:r>
      <w:r>
        <w:rPr>
          <w:rFonts w:ascii="宋体" w:cs="宋体"/>
        </w:rPr>
        <w:t>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6</w:t>
      </w:r>
      <w:r>
        <w:rPr>
          <w:rFonts w:ascii="宋体" w:cs="宋体"/>
        </w:rPr>
        <w:t>00</w:t>
      </w:r>
      <w:r>
        <w:rPr>
          <w:rFonts w:ascii="宋体" w:hAnsi="宋体" w:cs="宋体" w:hint="eastAsia"/>
        </w:rPr>
        <w:t>株，种子量为</w:t>
      </w:r>
      <w:r>
        <w:rPr>
          <w:rFonts w:ascii="宋体" w:hAnsi="宋体" w:cs="宋体"/>
        </w:rPr>
        <w:t>3</w:t>
      </w:r>
      <w:r>
        <w:rPr>
          <w:rFonts w:ascii="宋体" w:cs="宋体"/>
        </w:rPr>
        <w:t>0</w:t>
      </w:r>
      <w:r>
        <w:rPr>
          <w:rFonts w:ascii="宋体" w:hAnsi="宋体" w:cs="宋体"/>
        </w:rPr>
        <w:t xml:space="preserve"> 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50g</w:t>
      </w:r>
      <w:r>
        <w:rPr>
          <w:rFonts w:ascii="宋体" w:hAnsi="宋体" w:cs="宋体" w:hint="eastAsia"/>
        </w:rPr>
        <w:t>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bookmarkStart w:id="3" w:name="_Toc16956"/>
      <w:bookmarkStart w:id="4" w:name="_Toc12620"/>
      <w:bookmarkStart w:id="5" w:name="_Toc29139"/>
      <w:r>
        <w:rPr>
          <w:rFonts w:ascii="黑体" w:hAnsi="黑体"/>
          <w:b w:val="0"/>
          <w:szCs w:val="21"/>
        </w:rPr>
        <w:t xml:space="preserve">5.2 </w:t>
      </w:r>
      <w:r>
        <w:rPr>
          <w:rFonts w:ascii="黑体" w:hAnsi="黑体" w:hint="eastAsia"/>
          <w:b w:val="0"/>
          <w:szCs w:val="21"/>
        </w:rPr>
        <w:t>播种时间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月底中旬至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月下旬均可安排播种，部分早熟品种最晚可延迟至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20</w:t>
      </w:r>
      <w:r>
        <w:rPr>
          <w:rFonts w:ascii="宋体" w:hAnsi="宋体" w:cs="宋体" w:hint="eastAsia"/>
        </w:rPr>
        <w:t>日播种，具体的播种适期，各地应根据当地种植习惯、品种特性和上市档期灵活掌握。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5.3 </w:t>
      </w:r>
      <w:r>
        <w:rPr>
          <w:rFonts w:ascii="黑体" w:hAnsi="黑体" w:hint="eastAsia"/>
          <w:b w:val="0"/>
          <w:szCs w:val="21"/>
        </w:rPr>
        <w:t>育苗方法</w:t>
      </w:r>
      <w:bookmarkEnd w:id="3"/>
      <w:bookmarkEnd w:id="4"/>
      <w:bookmarkEnd w:id="5"/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ind w:firstLineChars="200" w:firstLine="420"/>
        <w:rPr>
          <w:rFonts w:ascii="宋体" w:eastAsia="宋体" w:hAnsi="宋体" w:cs="宋体"/>
          <w:b w:val="0"/>
          <w:kern w:val="2"/>
          <w:szCs w:val="21"/>
        </w:rPr>
      </w:pPr>
      <w:r>
        <w:rPr>
          <w:rFonts w:ascii="宋体" w:eastAsia="宋体" w:hAnsi="宋体" w:cs="宋体" w:hint="eastAsia"/>
          <w:b w:val="0"/>
          <w:kern w:val="2"/>
          <w:szCs w:val="21"/>
        </w:rPr>
        <w:t>分自根育苗和嫁接育苗两种方式，生产中建议根据土壤状况直接从专业育苗场购苗。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5.3.1 </w:t>
      </w:r>
      <w:r>
        <w:rPr>
          <w:rFonts w:ascii="黑体" w:hAnsi="黑体" w:hint="eastAsia"/>
          <w:b w:val="0"/>
          <w:szCs w:val="21"/>
        </w:rPr>
        <w:t>育苗基质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育苗基质要求渗水性好，无病菌、虫卵及杂草，可选用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年内未种植过瓜类蔬菜的菜园土或稻田表土、腐熟有机肥为主要原料进行配制，并做好消毒工作，也可直接使用符合</w:t>
      </w:r>
      <w:r>
        <w:rPr>
          <w:rFonts w:ascii="宋体" w:hAnsi="宋体" w:cs="宋体"/>
        </w:rPr>
        <w:t>NY/T 2118-2012</w:t>
      </w:r>
      <w:r>
        <w:rPr>
          <w:rFonts w:ascii="宋体" w:hAnsi="宋体" w:cs="宋体" w:hint="eastAsia"/>
        </w:rPr>
        <w:t>规定的商品蔬菜育苗基质。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5.3.2 </w:t>
      </w:r>
      <w:r>
        <w:rPr>
          <w:rFonts w:ascii="黑体" w:hAnsi="黑体" w:hint="eastAsia"/>
          <w:b w:val="0"/>
          <w:szCs w:val="21"/>
        </w:rPr>
        <w:t>苗床准备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育苗地环境应在符合</w:t>
      </w:r>
      <w:r>
        <w:rPr>
          <w:rFonts w:ascii="宋体" w:hAnsi="宋体" w:cs="宋体"/>
        </w:rPr>
        <w:t xml:space="preserve"> NY/T 391</w:t>
      </w:r>
      <w:r>
        <w:rPr>
          <w:rFonts w:ascii="宋体" w:hAnsi="宋体" w:cs="宋体" w:hint="eastAsia"/>
        </w:rPr>
        <w:t>的规定，选择通风向阳、无病菌的地块作为育苗床。进行春提早露地栽培的，需要在塑料大棚或温室内进行育苗；采用嫁接或越夏及延后栽培的，需在配有防虫网的遮阳棚内进行育苗。育苗床应整平、压实，无明显凹凸。利用设施进行春提早育苗的，需配置地热线，并做好与地表的隔热，以确保加温效果。对嫁接育苗的，还应做好在苗床悬挂白炽灯、加装空气加温线等辅助加温设备的准备工作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5.3.3 </w:t>
      </w:r>
      <w:r>
        <w:rPr>
          <w:rFonts w:ascii="黑体" w:hAnsi="黑体" w:hint="eastAsia"/>
          <w:b w:val="0"/>
          <w:szCs w:val="21"/>
        </w:rPr>
        <w:t>育苗容器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自根苗和嫁接育苗的砧木一般采用穴盘、营养钵或自制营养块等方法育苗。育苗容器应</w:t>
      </w:r>
      <w:r>
        <w:rPr>
          <w:rFonts w:ascii="宋体" w:hAnsi="宋体" w:cs="宋体" w:hint="eastAsia"/>
        </w:rPr>
        <w:lastRenderedPageBreak/>
        <w:t>摆放整齐、紧凑，以便苗床保水保温和管理。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嫁接育苗的接穗苗床则可在苗床铺上育苗基质或</w:t>
      </w:r>
      <w:r>
        <w:rPr>
          <w:rFonts w:ascii="宋体" w:cs="宋体" w:hint="eastAsia"/>
          <w:color w:val="000000"/>
        </w:rPr>
        <w:t>洁净河砂</w:t>
      </w:r>
      <w:r>
        <w:rPr>
          <w:rFonts w:ascii="宋体" w:hAnsi="宋体" w:cs="宋体" w:hint="eastAsia"/>
        </w:rPr>
        <w:t>制作而成。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5.4</w:t>
      </w:r>
      <w:r>
        <w:rPr>
          <w:rFonts w:ascii="黑体" w:hAnsi="黑体" w:hint="eastAsia"/>
          <w:b w:val="0"/>
          <w:szCs w:val="21"/>
        </w:rPr>
        <w:t>浸种催芽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5.4.1 </w:t>
      </w:r>
      <w:r>
        <w:rPr>
          <w:rFonts w:ascii="黑体" w:hAnsi="黑体" w:hint="eastAsia"/>
          <w:b w:val="0"/>
          <w:szCs w:val="21"/>
        </w:rPr>
        <w:t>种子处理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将晾晒</w:t>
      </w:r>
      <w:r>
        <w:rPr>
          <w:rFonts w:ascii="宋体" w:hAnsi="宋体" w:cs="宋体"/>
        </w:rPr>
        <w:t>1d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2d</w:t>
      </w:r>
      <w:r>
        <w:rPr>
          <w:rFonts w:ascii="宋体" w:hAnsi="宋体" w:cs="宋体" w:hint="eastAsia"/>
        </w:rPr>
        <w:t>后的种子放入</w:t>
      </w:r>
      <w:r>
        <w:rPr>
          <w:rFonts w:ascii="宋体" w:hAnsi="宋体" w:cs="宋体"/>
        </w:rPr>
        <w:t>55</w:t>
      </w:r>
      <w:r>
        <w:rPr>
          <w:rFonts w:ascii="宋体" w:hAnsi="宋体" w:cs="宋体" w:hint="eastAsia"/>
        </w:rPr>
        <w:t>℃温水中，不断搅拌，保持恒温</w:t>
      </w:r>
      <w:r>
        <w:rPr>
          <w:rFonts w:ascii="宋体" w:hAnsi="宋体" w:cs="宋体"/>
        </w:rPr>
        <w:t>10min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15min</w:t>
      </w:r>
      <w:r>
        <w:rPr>
          <w:rFonts w:ascii="宋体" w:hAnsi="宋体" w:cs="宋体" w:hint="eastAsia"/>
        </w:rPr>
        <w:t>后，停止搅拌，用常温水继续浸泡</w:t>
      </w:r>
      <w:r>
        <w:rPr>
          <w:rFonts w:ascii="宋体" w:hAnsi="宋体" w:cs="宋体"/>
        </w:rPr>
        <w:t>4h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6h</w:t>
      </w:r>
      <w:r>
        <w:rPr>
          <w:rFonts w:ascii="宋体" w:hAnsi="宋体" w:cs="宋体" w:hint="eastAsia"/>
        </w:rPr>
        <w:t>，取出种子，洗净种子表面粘液，沥干水分，进行催芽。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若选用的是无籽西瓜品种需要进行破壳处理。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cs="宋体" w:hint="eastAsia"/>
        </w:rPr>
        <w:t>采用嫁接育苗的，应根据嫁接方法掌握好砧木、接穗的播种时间差，若采用靠接法，接穗应早于砧木</w:t>
      </w:r>
      <w:r>
        <w:rPr>
          <w:rFonts w:ascii="宋体" w:cs="宋体"/>
        </w:rPr>
        <w:t>3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5d</w:t>
      </w:r>
      <w:r>
        <w:rPr>
          <w:rFonts w:ascii="宋体" w:hAnsi="宋体" w:cs="宋体" w:hint="eastAsia"/>
        </w:rPr>
        <w:t>播种；若采用顶插接法，接穗</w:t>
      </w:r>
      <w:r>
        <w:rPr>
          <w:rFonts w:ascii="宋体" w:cs="宋体" w:hint="eastAsia"/>
        </w:rPr>
        <w:t>应早晚于砧木</w:t>
      </w:r>
      <w:r>
        <w:rPr>
          <w:rFonts w:ascii="宋体" w:cs="宋体"/>
        </w:rPr>
        <w:t>5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7d</w:t>
      </w:r>
      <w:r>
        <w:rPr>
          <w:rFonts w:ascii="宋体" w:hAnsi="宋体" w:cs="宋体" w:hint="eastAsia"/>
        </w:rPr>
        <w:t>播种。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5.4.2 </w:t>
      </w:r>
      <w:r>
        <w:rPr>
          <w:rFonts w:ascii="黑体" w:hAnsi="黑体" w:hint="eastAsia"/>
          <w:b w:val="0"/>
          <w:szCs w:val="21"/>
        </w:rPr>
        <w:t>催芽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将浸种后的种子用湿布包好，有籽瓜放入</w:t>
      </w:r>
      <w:r>
        <w:rPr>
          <w:rFonts w:ascii="宋体" w:hAnsi="宋体" w:cs="宋体"/>
        </w:rPr>
        <w:t>28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℃、无籽瓜放入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32</w:t>
      </w:r>
      <w:r>
        <w:rPr>
          <w:rFonts w:ascii="宋体" w:hAnsi="宋体" w:cs="宋体" w:hint="eastAsia"/>
        </w:rPr>
        <w:t>℃的恒温条件下催芽，待胚根长至</w:t>
      </w:r>
      <w:r>
        <w:rPr>
          <w:rFonts w:ascii="宋体" w:hAnsi="宋体" w:cs="宋体"/>
        </w:rPr>
        <w:t>0.2cm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0.5cm</w:t>
      </w:r>
      <w:r>
        <w:rPr>
          <w:rFonts w:ascii="宋体" w:hAnsi="宋体" w:cs="宋体" w:hint="eastAsia"/>
        </w:rPr>
        <w:t>时即可播种。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5.5</w:t>
      </w:r>
      <w:r>
        <w:rPr>
          <w:rFonts w:ascii="黑体" w:hAnsi="黑体" w:hint="eastAsia"/>
          <w:b w:val="0"/>
          <w:szCs w:val="21"/>
        </w:rPr>
        <w:t>播种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播种苗床于播种前</w:t>
      </w:r>
      <w:r>
        <w:rPr>
          <w:rFonts w:ascii="宋体" w:hAnsi="宋体" w:cs="宋体"/>
        </w:rPr>
        <w:t>1d</w:t>
      </w:r>
      <w:r>
        <w:rPr>
          <w:rFonts w:ascii="宋体" w:hAnsi="宋体" w:cs="宋体" w:hint="eastAsia"/>
        </w:rPr>
        <w:t>浇透底水，播种时注意保持胚根朝下，播种后及时覆盖</w:t>
      </w:r>
      <w:r>
        <w:rPr>
          <w:rFonts w:ascii="宋体" w:hAnsi="宋体" w:cs="宋体"/>
        </w:rPr>
        <w:t>1.0cm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1.5cm</w:t>
      </w:r>
      <w:r>
        <w:rPr>
          <w:rFonts w:ascii="宋体" w:hAnsi="宋体" w:cs="宋体" w:hint="eastAsia"/>
        </w:rPr>
        <w:t>厚的育苗基质，再用喷雾器喷湿，并根据天气情况揭盖农膜及添加遮阳网来调节温、湿度。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5.6 </w:t>
      </w:r>
      <w:r>
        <w:rPr>
          <w:rFonts w:ascii="黑体" w:hAnsi="黑体" w:hint="eastAsia"/>
          <w:b w:val="0"/>
          <w:szCs w:val="21"/>
        </w:rPr>
        <w:t>培育壮苗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5.6.1 </w:t>
      </w:r>
      <w:r>
        <w:rPr>
          <w:rFonts w:ascii="黑体" w:hAnsi="黑体" w:hint="eastAsia"/>
          <w:b w:val="0"/>
          <w:szCs w:val="21"/>
        </w:rPr>
        <w:t>苗床温湿度管理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待</w:t>
      </w:r>
      <w:r>
        <w:rPr>
          <w:rFonts w:ascii="宋体" w:hAnsi="宋体" w:cs="宋体"/>
        </w:rPr>
        <w:t>70%</w:t>
      </w:r>
      <w:r>
        <w:rPr>
          <w:rFonts w:ascii="宋体" w:hAnsi="宋体" w:cs="宋体" w:hint="eastAsia"/>
        </w:rPr>
        <w:t>左右种子出苗后，苗床搭建小拱棚。春提早育苗的，小拱棚采用塑料薄膜进行覆盖，继续保温保湿，齐苗后白天揭开小拱棚，增加光照，通过大棚放风和电热线加热等手段控制苗床温度，白天</w:t>
      </w:r>
      <w:r>
        <w:rPr>
          <w:rFonts w:ascii="宋体" w:hAnsi="宋体" w:cs="宋体"/>
        </w:rPr>
        <w:t>20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24</w:t>
      </w:r>
      <w:r>
        <w:rPr>
          <w:rFonts w:ascii="宋体" w:hAnsi="宋体" w:cs="宋体" w:hint="eastAsia"/>
        </w:rPr>
        <w:t>℃，夜间大棚密封，气温保持在</w:t>
      </w:r>
      <w:r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℃以上；夏季育苗前期采用遮阳网作为覆盖材料，晴热天于上午</w:t>
      </w:r>
      <w:r>
        <w:rPr>
          <w:rFonts w:ascii="宋体" w:hAnsi="宋体" w:cs="宋体"/>
        </w:rPr>
        <w:t>9:00</w:t>
      </w:r>
      <w:r>
        <w:rPr>
          <w:rFonts w:ascii="宋体" w:hAnsi="宋体" w:cs="宋体" w:hint="eastAsia"/>
        </w:rPr>
        <w:t>～下午</w:t>
      </w:r>
      <w:r>
        <w:rPr>
          <w:rFonts w:ascii="宋体" w:hAnsi="宋体" w:cs="宋体"/>
        </w:rPr>
        <w:t>5:00</w:t>
      </w:r>
      <w:r>
        <w:rPr>
          <w:rFonts w:ascii="宋体" w:hAnsi="宋体" w:cs="宋体" w:hint="eastAsia"/>
        </w:rPr>
        <w:t>覆盖，其它时间及阴雨天均应去除遮阳覆盖物。出苗期不需要浇水，出苗至第一片真叶期间应严格控水，后期视情况适量浇水。保持穴盘或营养钵内基质见干见湿，防止徒长。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5.6.2 </w:t>
      </w:r>
      <w:r>
        <w:rPr>
          <w:rFonts w:ascii="黑体" w:hAnsi="黑体" w:hint="eastAsia"/>
          <w:b w:val="0"/>
          <w:szCs w:val="21"/>
        </w:rPr>
        <w:t>苗床肥水管理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采用菜园土、有机肥、泥炭等为主要原料配制育苗基质的，苗期一般无需补充肥水；使用以椰糠为主要原料配制育苗基质的，齐苗后应结合苗床水分管理，使用水溶性肥进行补肥。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5.6.3 </w:t>
      </w:r>
      <w:r>
        <w:rPr>
          <w:rFonts w:ascii="黑体" w:hAnsi="黑体" w:hint="eastAsia"/>
          <w:b w:val="0"/>
          <w:szCs w:val="21"/>
        </w:rPr>
        <w:t>壮苗标准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西瓜壮苗标准为：幼苗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片真叶，茎叶粗短（下胚轴长度</w:t>
      </w:r>
      <w:r>
        <w:rPr>
          <w:rFonts w:ascii="宋体" w:hAnsi="宋体" w:cs="宋体"/>
        </w:rPr>
        <w:t>3cm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5cm</w:t>
      </w:r>
      <w:r>
        <w:rPr>
          <w:rFonts w:ascii="宋体" w:hAnsi="宋体" w:cs="宋体" w:hint="eastAsia"/>
        </w:rPr>
        <w:t>），子叶平展、</w:t>
      </w:r>
      <w:r>
        <w:rPr>
          <w:rFonts w:ascii="宋体" w:hAnsi="宋体" w:cs="宋体" w:hint="eastAsia"/>
        </w:rPr>
        <w:lastRenderedPageBreak/>
        <w:t>肥厚，真叶叶色浓绿，根系舒展、发育适度、表面白嫩，取苗时营养钵不散，不伤根，苗床无病虫害，幼苗生长一致。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 </w:t>
      </w:r>
      <w:r>
        <w:rPr>
          <w:rFonts w:ascii="黑体" w:hAnsi="黑体" w:hint="eastAsia"/>
          <w:b w:val="0"/>
          <w:szCs w:val="21"/>
        </w:rPr>
        <w:t>西瓜嫁接育苗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5.7</w:t>
      </w:r>
      <w:r>
        <w:rPr>
          <w:rFonts w:ascii="黑体" w:hAnsi="黑体" w:hint="eastAsia"/>
          <w:b w:val="0"/>
          <w:szCs w:val="21"/>
        </w:rPr>
        <w:t>．</w:t>
      </w:r>
      <w:r>
        <w:rPr>
          <w:rFonts w:ascii="黑体" w:hAnsi="黑体"/>
          <w:b w:val="0"/>
          <w:szCs w:val="21"/>
        </w:rPr>
        <w:t xml:space="preserve">1 </w:t>
      </w:r>
      <w:r>
        <w:rPr>
          <w:rFonts w:ascii="黑体" w:hAnsi="黑体" w:hint="eastAsia"/>
          <w:b w:val="0"/>
          <w:szCs w:val="21"/>
        </w:rPr>
        <w:t>嫁接前准备工作</w:t>
      </w:r>
    </w:p>
    <w:p w:rsidR="00165ABB" w:rsidRDefault="00EE35D6" w:rsidP="007068F3">
      <w:pPr>
        <w:pStyle w:val="1"/>
        <w:spacing w:beforeLines="50" w:afterLines="50" w:line="400" w:lineRule="atLeast"/>
        <w:ind w:firstLineChars="0"/>
        <w:contextualSpacing/>
        <w:rPr>
          <w:rFonts w:ascii="黑体" w:eastAsia="黑体"/>
          <w:b/>
        </w:rPr>
      </w:pPr>
      <w:r>
        <w:rPr>
          <w:rFonts w:ascii="宋体" w:hAnsi="宋体" w:cs="宋体" w:hint="eastAsia"/>
        </w:rPr>
        <w:t>嫁接前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天，</w:t>
      </w:r>
      <w:r w:rsidR="00F21555">
        <w:rPr>
          <w:rFonts w:ascii="宋体" w:hAnsi="宋体" w:cs="宋体" w:hint="eastAsia"/>
        </w:rPr>
        <w:t>每亩</w:t>
      </w:r>
      <w:r>
        <w:rPr>
          <w:rFonts w:ascii="宋体" w:hAnsi="宋体" w:cs="宋体" w:hint="eastAsia"/>
        </w:rPr>
        <w:t>用</w:t>
      </w:r>
      <w:r>
        <w:rPr>
          <w:rFonts w:ascii="宋体" w:hAnsi="宋体" w:cs="宋体"/>
        </w:rPr>
        <w:t>50%</w:t>
      </w:r>
      <w:r>
        <w:rPr>
          <w:rFonts w:ascii="宋体" w:hAnsi="宋体" w:cs="宋体" w:hint="eastAsia"/>
        </w:rPr>
        <w:t>的</w:t>
      </w:r>
      <w:r w:rsidR="00F21555" w:rsidRPr="00F21555">
        <w:rPr>
          <w:rFonts w:ascii="宋体" w:hAnsi="宋体" w:cs="宋体" w:hint="eastAsia"/>
        </w:rPr>
        <w:t>氢铜·多菌灵</w:t>
      </w:r>
      <w:r>
        <w:rPr>
          <w:rFonts w:ascii="宋体" w:hAnsi="宋体" w:cs="宋体" w:hint="eastAsia"/>
        </w:rPr>
        <w:t>可湿性粉剂</w:t>
      </w:r>
      <w:r w:rsidR="00F21555">
        <w:rPr>
          <w:rFonts w:ascii="宋体" w:hAnsi="宋体" w:cs="宋体" w:hint="eastAsia"/>
        </w:rPr>
        <w:t>100-125ml</w:t>
      </w:r>
      <w:r>
        <w:rPr>
          <w:rFonts w:ascii="宋体" w:hAnsi="宋体" w:cs="宋体" w:hint="eastAsia"/>
        </w:rPr>
        <w:t>对砧木和接穗进行喷雾消毒。嫁接前应对竹签、刀片和手等用</w:t>
      </w:r>
      <w:r>
        <w:rPr>
          <w:rFonts w:ascii="宋体" w:hAnsi="宋体" w:cs="宋体"/>
        </w:rPr>
        <w:t>70%</w:t>
      </w:r>
      <w:r>
        <w:rPr>
          <w:rFonts w:ascii="宋体" w:hAnsi="宋体" w:cs="宋体" w:hint="eastAsia"/>
        </w:rPr>
        <w:t>的酒精进行消毒。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5.7</w:t>
      </w:r>
      <w:r>
        <w:rPr>
          <w:rFonts w:ascii="黑体"/>
          <w:b w:val="0"/>
          <w:szCs w:val="21"/>
        </w:rPr>
        <w:t>.</w:t>
      </w:r>
      <w:r>
        <w:rPr>
          <w:rFonts w:ascii="黑体" w:hAnsi="黑体"/>
          <w:b w:val="0"/>
          <w:szCs w:val="21"/>
        </w:rPr>
        <w:t xml:space="preserve">2 </w:t>
      </w:r>
      <w:r>
        <w:rPr>
          <w:rFonts w:ascii="黑体" w:hAnsi="黑体" w:hint="eastAsia"/>
          <w:b w:val="0"/>
          <w:szCs w:val="21"/>
        </w:rPr>
        <w:t>嫁接方法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5.7.2.1 </w:t>
      </w:r>
      <w:r>
        <w:rPr>
          <w:rFonts w:ascii="黑体" w:hAnsi="黑体" w:hint="eastAsia"/>
          <w:b w:val="0"/>
          <w:szCs w:val="21"/>
        </w:rPr>
        <w:t>靠接法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接穗子叶充分开展，第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真叶显现，砧木子叶开展为嫁接适期。将接穗、砧木带根拨出，砧木苗去除生长点，自子叶节下</w:t>
      </w:r>
      <w:r>
        <w:rPr>
          <w:rFonts w:ascii="宋体" w:hAnsi="宋体" w:cs="宋体"/>
        </w:rPr>
        <w:t>0.5cm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1cm</w:t>
      </w:r>
      <w:r>
        <w:rPr>
          <w:rFonts w:ascii="宋体" w:hAnsi="宋体" w:cs="宋体" w:hint="eastAsia"/>
        </w:rPr>
        <w:t>处用刀片自下胚轴面由上向下</w:t>
      </w:r>
      <w:r>
        <w:rPr>
          <w:rFonts w:ascii="宋体" w:hAnsi="宋体" w:cs="宋体"/>
        </w:rPr>
        <w:t>40</w:t>
      </w:r>
      <w:r>
        <w:rPr>
          <w:rFonts w:ascii="宋体" w:hAnsi="宋体" w:cs="宋体" w:hint="eastAsia"/>
        </w:rPr>
        <w:t>°斜切</w:t>
      </w:r>
      <w:r>
        <w:rPr>
          <w:rFonts w:ascii="宋体" w:hAnsi="宋体" w:cs="宋体"/>
        </w:rPr>
        <w:t>0.5cm-0.7cm</w:t>
      </w:r>
      <w:r>
        <w:rPr>
          <w:rFonts w:ascii="宋体" w:hAnsi="宋体" w:cs="宋体" w:hint="eastAsia"/>
        </w:rPr>
        <w:t>，深达下胚轴面</w:t>
      </w:r>
      <w:r>
        <w:rPr>
          <w:rFonts w:ascii="宋体" w:hAnsi="宋体" w:cs="宋体"/>
        </w:rPr>
        <w:t>3/5</w:t>
      </w:r>
      <w:r>
        <w:rPr>
          <w:rFonts w:ascii="宋体" w:hAnsi="宋体" w:cs="宋体" w:hint="eastAsia"/>
        </w:rPr>
        <w:t>；接穗苗在子叶节下</w:t>
      </w:r>
      <w:r>
        <w:rPr>
          <w:rFonts w:ascii="宋体" w:hAnsi="宋体" w:cs="宋体"/>
        </w:rPr>
        <w:t>2/3</w:t>
      </w:r>
      <w:r>
        <w:rPr>
          <w:rFonts w:ascii="宋体" w:hAnsi="宋体" w:cs="宋体" w:hint="eastAsia"/>
        </w:rPr>
        <w:t>处用刀片自下胚轴宽面由下向上</w:t>
      </w:r>
      <w:r>
        <w:rPr>
          <w:rFonts w:ascii="宋体" w:hAnsi="宋体" w:cs="宋体"/>
        </w:rPr>
        <w:t>40</w:t>
      </w:r>
      <w:r>
        <w:rPr>
          <w:rFonts w:ascii="宋体" w:hAnsi="宋体" w:cs="宋体" w:hint="eastAsia"/>
        </w:rPr>
        <w:t>°斜切</w:t>
      </w:r>
      <w:r>
        <w:rPr>
          <w:rFonts w:ascii="宋体" w:hAnsi="宋体" w:cs="宋体"/>
        </w:rPr>
        <w:t>0.5cm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0.7cm</w:t>
      </w:r>
      <w:r>
        <w:rPr>
          <w:rFonts w:ascii="宋体" w:hAnsi="宋体" w:cs="宋体" w:hint="eastAsia"/>
        </w:rPr>
        <w:t>，深达胚轴断面</w:t>
      </w:r>
      <w:r>
        <w:rPr>
          <w:rFonts w:ascii="宋体" w:hAnsi="宋体" w:cs="宋体"/>
        </w:rPr>
        <w:t>3/5</w:t>
      </w:r>
      <w:r>
        <w:rPr>
          <w:rFonts w:ascii="宋体" w:hAnsi="宋体" w:cs="宋体" w:hint="eastAsia"/>
        </w:rPr>
        <w:t>；将接穗苗切口插入砧木苗切口，相互吻合，接穗高于砧木</w:t>
      </w:r>
      <w:r>
        <w:rPr>
          <w:rFonts w:ascii="宋体" w:hAnsi="宋体" w:cs="宋体"/>
        </w:rPr>
        <w:t>1cm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2cm</w:t>
      </w:r>
      <w:r>
        <w:rPr>
          <w:rFonts w:ascii="宋体" w:hAnsi="宋体" w:cs="宋体" w:hint="eastAsia"/>
        </w:rPr>
        <w:t>，接穗子叶与砧木子叶互为十字型，用嫁接夹固定，移栽到营养钵或穴盘中，嫁接口要距土面</w:t>
      </w:r>
      <w:r>
        <w:rPr>
          <w:rFonts w:ascii="宋体" w:hAnsi="宋体" w:cs="宋体"/>
        </w:rPr>
        <w:t>2cm</w:t>
      </w:r>
      <w:r>
        <w:rPr>
          <w:rFonts w:ascii="宋体" w:hAnsi="宋体" w:cs="宋体" w:hint="eastAsia"/>
        </w:rPr>
        <w:t>以上。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5.7.2.2 </w:t>
      </w:r>
      <w:r>
        <w:rPr>
          <w:rFonts w:ascii="黑体" w:hAnsi="黑体" w:hint="eastAsia"/>
          <w:b w:val="0"/>
          <w:szCs w:val="21"/>
        </w:rPr>
        <w:t>顶插接法</w:t>
      </w:r>
    </w:p>
    <w:p w:rsidR="00165ABB" w:rsidRDefault="00EE35D6">
      <w:pPr>
        <w:spacing w:line="4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接穗苗为子叶开展初期，砧木苗为子叶充分开展，第一真叶叶宽</w:t>
      </w:r>
      <w:r>
        <w:rPr>
          <w:rFonts w:ascii="宋体" w:hAnsi="宋体" w:cs="宋体"/>
          <w:szCs w:val="21"/>
        </w:rPr>
        <w:t>2cm</w:t>
      </w:r>
      <w:r>
        <w:rPr>
          <w:rFonts w:ascii="宋体" w:hAnsi="宋体" w:cs="宋体" w:hint="eastAsia"/>
          <w:szCs w:val="21"/>
        </w:rPr>
        <w:t>左右为嫁接适期。将接穗从苗床拔出，冲洗干净。嫁接时去掉砧木苗的生长点，</w:t>
      </w:r>
      <w:r>
        <w:rPr>
          <w:rFonts w:hint="eastAsia"/>
        </w:rPr>
        <w:t>用粗度与接穗下胚轴相近，先端渐尖的竹签</w:t>
      </w:r>
      <w:r>
        <w:rPr>
          <w:rFonts w:ascii="宋体" w:hAnsi="宋体" w:cs="宋体" w:hint="eastAsia"/>
          <w:szCs w:val="21"/>
        </w:rPr>
        <w:t>紧贴子叶的叶柄中脉基部向另一子叶的叶柄基部成</w:t>
      </w:r>
      <w:r>
        <w:rPr>
          <w:rFonts w:ascii="宋体" w:hAnsi="宋体" w:cs="宋体"/>
          <w:szCs w:val="21"/>
        </w:rPr>
        <w:t xml:space="preserve"> 30-45 </w:t>
      </w:r>
      <w:r>
        <w:rPr>
          <w:rFonts w:ascii="宋体" w:hAnsi="宋体" w:cs="宋体" w:hint="eastAsia"/>
        </w:rPr>
        <w:t>°</w:t>
      </w:r>
      <w:r>
        <w:rPr>
          <w:rFonts w:ascii="宋体" w:hAnsi="宋体" w:cs="宋体" w:hint="eastAsia"/>
          <w:szCs w:val="21"/>
        </w:rPr>
        <w:t>斜插入</w:t>
      </w:r>
      <w:r>
        <w:rPr>
          <w:rFonts w:ascii="宋体" w:hAnsi="宋体" w:cs="宋体"/>
          <w:szCs w:val="21"/>
        </w:rPr>
        <w:t>0.6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0.8cm</w:t>
      </w:r>
      <w:r>
        <w:rPr>
          <w:rFonts w:ascii="宋体" w:hAnsi="宋体" w:cs="宋体" w:hint="eastAsia"/>
          <w:szCs w:val="21"/>
        </w:rPr>
        <w:t>，竹签稍穿透砧木苗表皮，手指有触感为宜，竹签暂不拔出。在西瓜接穗的子叶基部</w:t>
      </w:r>
      <w:r>
        <w:rPr>
          <w:rFonts w:ascii="宋体" w:hAnsi="宋体" w:cs="宋体"/>
          <w:szCs w:val="21"/>
        </w:rPr>
        <w:t xml:space="preserve"> 0.5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 xml:space="preserve">1cm </w:t>
      </w:r>
      <w:r>
        <w:rPr>
          <w:rFonts w:ascii="宋体" w:hAnsi="宋体" w:cs="宋体" w:hint="eastAsia"/>
          <w:szCs w:val="21"/>
        </w:rPr>
        <w:t>处平行于子叶先斜削一刀，再垂直于子叶将胚轴切成楔形，切面长约</w:t>
      </w:r>
      <w:r>
        <w:rPr>
          <w:rFonts w:ascii="宋体" w:hAnsi="宋体" w:cs="宋体"/>
          <w:szCs w:val="21"/>
        </w:rPr>
        <w:t xml:space="preserve"> 0.5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0.8cm</w:t>
      </w:r>
      <w:r>
        <w:rPr>
          <w:rFonts w:ascii="宋体" w:hAnsi="宋体" w:cs="宋体" w:hint="eastAsia"/>
          <w:szCs w:val="21"/>
        </w:rPr>
        <w:t>。拔出竹签，将切好的接穗</w:t>
      </w:r>
      <w:r>
        <w:rPr>
          <w:rFonts w:hint="eastAsia"/>
        </w:rPr>
        <w:t>按子叶与砧木子叶互为十字型的角度，</w:t>
      </w:r>
      <w:r>
        <w:rPr>
          <w:rFonts w:ascii="宋体" w:hAnsi="宋体" w:cs="宋体" w:hint="eastAsia"/>
          <w:szCs w:val="21"/>
        </w:rPr>
        <w:t>迅速插入砧木切口内，使接穗与砧木密切吻合。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5.7.3 </w:t>
      </w:r>
      <w:r>
        <w:rPr>
          <w:rFonts w:ascii="黑体" w:hAnsi="黑体" w:hint="eastAsia"/>
          <w:b w:val="0"/>
          <w:szCs w:val="21"/>
        </w:rPr>
        <w:t>嫁接苗的管理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5.7.3.1 </w:t>
      </w:r>
      <w:r>
        <w:rPr>
          <w:rFonts w:ascii="黑体" w:hAnsi="黑体" w:hint="eastAsia"/>
          <w:b w:val="0"/>
          <w:szCs w:val="21"/>
        </w:rPr>
        <w:t>愈合期管理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ind w:firstLineChars="200" w:firstLine="420"/>
        <w:rPr>
          <w:rFonts w:ascii="宋体" w:eastAsia="宋体" w:hAnsi="宋体" w:cs="宋体"/>
          <w:b w:val="0"/>
          <w:kern w:val="2"/>
          <w:szCs w:val="21"/>
        </w:rPr>
      </w:pPr>
      <w:r>
        <w:rPr>
          <w:rFonts w:ascii="宋体" w:eastAsia="宋体" w:hAnsi="宋体" w:cs="宋体" w:hint="eastAsia"/>
          <w:b w:val="0"/>
          <w:kern w:val="2"/>
          <w:szCs w:val="21"/>
        </w:rPr>
        <w:t>嫁接完成后，将穴盘整齐摆放回苗床，喷雾，覆盖塑料薄膜封闭苗床。苗床温度控制在</w:t>
      </w:r>
      <w:r>
        <w:rPr>
          <w:rFonts w:ascii="宋体" w:eastAsia="宋体" w:hAnsi="宋体" w:cs="宋体"/>
          <w:b w:val="0"/>
          <w:kern w:val="2"/>
          <w:szCs w:val="21"/>
        </w:rPr>
        <w:t>18</w:t>
      </w:r>
      <w:r>
        <w:rPr>
          <w:rFonts w:ascii="宋体" w:eastAsia="宋体" w:hAnsi="宋体" w:cs="宋体" w:hint="eastAsia"/>
          <w:b w:val="0"/>
          <w:kern w:val="2"/>
          <w:szCs w:val="21"/>
        </w:rPr>
        <w:t>℃～</w:t>
      </w:r>
      <w:r>
        <w:rPr>
          <w:rFonts w:ascii="宋体" w:eastAsia="宋体" w:hAnsi="宋体" w:cs="宋体"/>
          <w:b w:val="0"/>
          <w:kern w:val="2"/>
          <w:szCs w:val="21"/>
        </w:rPr>
        <w:t>30</w:t>
      </w:r>
      <w:r>
        <w:rPr>
          <w:rFonts w:ascii="宋体" w:eastAsia="宋体" w:hAnsi="宋体" w:cs="宋体" w:hint="eastAsia"/>
          <w:b w:val="0"/>
          <w:kern w:val="2"/>
          <w:szCs w:val="21"/>
        </w:rPr>
        <w:t>℃之间，相对湿度保持在</w:t>
      </w:r>
      <w:r>
        <w:rPr>
          <w:rFonts w:ascii="宋体" w:eastAsia="宋体" w:hAnsi="宋体" w:cs="宋体"/>
          <w:b w:val="0"/>
          <w:kern w:val="2"/>
          <w:szCs w:val="21"/>
        </w:rPr>
        <w:t>95%</w:t>
      </w:r>
      <w:r>
        <w:rPr>
          <w:rFonts w:ascii="宋体" w:eastAsia="宋体" w:hAnsi="宋体" w:cs="宋体" w:hint="eastAsia"/>
          <w:b w:val="0"/>
          <w:kern w:val="2"/>
          <w:szCs w:val="21"/>
        </w:rPr>
        <w:t>左右，光照过强时覆盖遮阳网，防止苗床温度过高。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5.7.3.2 </w:t>
      </w:r>
      <w:r>
        <w:rPr>
          <w:rFonts w:ascii="黑体" w:hAnsi="黑体" w:hint="eastAsia"/>
          <w:b w:val="0"/>
          <w:szCs w:val="21"/>
        </w:rPr>
        <w:t>炼苗</w:t>
      </w:r>
    </w:p>
    <w:p w:rsidR="00165ABB" w:rsidRDefault="00EE35D6">
      <w:pPr>
        <w:spacing w:line="400" w:lineRule="exact"/>
        <w:ind w:firstLineChars="200" w:firstLine="420"/>
      </w:pPr>
      <w:r>
        <w:rPr>
          <w:rFonts w:hint="eastAsia"/>
        </w:rPr>
        <w:t>春季嫁接育苗的，约</w:t>
      </w:r>
      <w:r>
        <w:t>5d</w:t>
      </w:r>
      <w:r>
        <w:rPr>
          <w:rFonts w:hint="eastAsia"/>
        </w:rPr>
        <w:t>后可视情况开始放风，增加光照，</w:t>
      </w:r>
      <w:r>
        <w:t>10d</w:t>
      </w:r>
      <w:r>
        <w:rPr>
          <w:rFonts w:hint="eastAsia"/>
        </w:rPr>
        <w:t>后开始按一般苗床管理要求进行管理；夏季嫁接育苗的，约</w:t>
      </w:r>
      <w:r>
        <w:t>3</w:t>
      </w:r>
      <w:r>
        <w:rPr>
          <w:rFonts w:hint="eastAsia"/>
        </w:rPr>
        <w:t>天后开始放风，逐天减少遮阳网覆盖，</w:t>
      </w:r>
      <w:r>
        <w:t>7d</w:t>
      </w:r>
      <w:r>
        <w:rPr>
          <w:rFonts w:hint="eastAsia"/>
        </w:rPr>
        <w:t>后开始按</w:t>
      </w:r>
      <w:r>
        <w:rPr>
          <w:rFonts w:hint="eastAsia"/>
        </w:rPr>
        <w:lastRenderedPageBreak/>
        <w:t>一般苗床管理要求进行管理。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5.7.3.3 </w:t>
      </w:r>
      <w:r>
        <w:rPr>
          <w:rFonts w:ascii="黑体" w:hAnsi="黑体" w:hint="eastAsia"/>
          <w:b w:val="0"/>
          <w:szCs w:val="21"/>
        </w:rPr>
        <w:t>其它事项</w:t>
      </w:r>
    </w:p>
    <w:p w:rsidR="00165ABB" w:rsidRDefault="00EE35D6">
      <w:pPr>
        <w:spacing w:line="400" w:lineRule="exact"/>
        <w:ind w:firstLineChars="200" w:firstLine="420"/>
      </w:pPr>
      <w:r>
        <w:rPr>
          <w:rFonts w:hint="eastAsia"/>
        </w:rPr>
        <w:t>采用靠接法嫁接的，大约在嫁接后的</w:t>
      </w:r>
      <w:r>
        <w:t>10d</w:t>
      </w:r>
      <w:r>
        <w:rPr>
          <w:rFonts w:hint="eastAsia"/>
        </w:rPr>
        <w:t>左右，嫁接苗成活后，应及时去掉嫁接夹，从接口往下</w:t>
      </w:r>
      <w:r>
        <w:t>1.0cm</w:t>
      </w:r>
      <w:r>
        <w:rPr>
          <w:rFonts w:hint="eastAsia"/>
        </w:rPr>
        <w:t>处将接穗的茎剪断清除接穗根系。</w:t>
      </w:r>
    </w:p>
    <w:p w:rsidR="00165ABB" w:rsidRDefault="00EE35D6">
      <w:pPr>
        <w:spacing w:line="400" w:lineRule="exact"/>
        <w:ind w:firstLineChars="200" w:firstLine="420"/>
      </w:pPr>
      <w:r>
        <w:rPr>
          <w:rFonts w:hint="eastAsia"/>
        </w:rPr>
        <w:t>嫁接苗成活后要及时去除砧木上萌发出的不定芽。嫁接苗长至</w:t>
      </w:r>
      <w:r>
        <w:t>2</w:t>
      </w:r>
      <w:r>
        <w:rPr>
          <w:rFonts w:hint="eastAsia"/>
        </w:rPr>
        <w:t>片～</w:t>
      </w:r>
      <w:r>
        <w:t>3</w:t>
      </w:r>
      <w:r>
        <w:rPr>
          <w:rFonts w:hint="eastAsia"/>
        </w:rPr>
        <w:t>片真叶时可移栽定植。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6 </w:t>
      </w:r>
      <w:r>
        <w:rPr>
          <w:rFonts w:ascii="黑体" w:hAnsi="黑体" w:hint="eastAsia"/>
          <w:b w:val="0"/>
          <w:szCs w:val="21"/>
        </w:rPr>
        <w:t>整地和定植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6.1</w:t>
      </w:r>
      <w:r>
        <w:rPr>
          <w:rFonts w:ascii="黑体" w:hAnsi="黑体" w:hint="eastAsia"/>
          <w:b w:val="0"/>
          <w:szCs w:val="21"/>
        </w:rPr>
        <w:t>整地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6.1.1</w:t>
      </w:r>
      <w:r>
        <w:rPr>
          <w:rFonts w:ascii="黑体" w:hAnsi="黑体" w:hint="eastAsia"/>
          <w:b w:val="0"/>
          <w:szCs w:val="21"/>
        </w:rPr>
        <w:t>基肥施用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南方各地春夏季雨量充沛，故整地应与育苗同步或早于育苗工作进行。耕地前每亩施入生物有机肥</w:t>
      </w:r>
      <w:r>
        <w:rPr>
          <w:rFonts w:ascii="宋体" w:hAnsi="宋体" w:cs="宋体"/>
        </w:rPr>
        <w:t>300kg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400kg</w:t>
      </w:r>
      <w:r>
        <w:rPr>
          <w:rFonts w:ascii="宋体" w:hAnsi="宋体" w:cs="宋体" w:hint="eastAsia"/>
        </w:rPr>
        <w:t>，腐熟饼肥</w:t>
      </w:r>
      <w:r>
        <w:rPr>
          <w:rFonts w:ascii="宋体" w:hAnsi="宋体" w:cs="宋体"/>
        </w:rPr>
        <w:t>75kg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100kg</w:t>
      </w:r>
      <w:r>
        <w:rPr>
          <w:rFonts w:ascii="宋体" w:hAnsi="宋体" w:cs="宋体" w:hint="eastAsia"/>
        </w:rPr>
        <w:t>，硫酸钾型三元复合肥</w:t>
      </w:r>
      <w:r>
        <w:rPr>
          <w:rFonts w:ascii="宋体" w:hAnsi="宋体" w:cs="宋体"/>
        </w:rPr>
        <w:t>30 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50kg</w:t>
      </w:r>
      <w:r>
        <w:rPr>
          <w:rFonts w:ascii="宋体" w:hAnsi="宋体" w:cs="宋体" w:hint="eastAsia"/>
        </w:rPr>
        <w:t>。基肥应重点施放在定植行</w:t>
      </w:r>
      <w:r>
        <w:rPr>
          <w:rFonts w:ascii="宋体" w:hAnsi="宋体" w:cs="宋体"/>
        </w:rPr>
        <w:t>1m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1.5m</w:t>
      </w:r>
      <w:r>
        <w:rPr>
          <w:rFonts w:ascii="宋体" w:hAnsi="宋体" w:cs="宋体" w:hint="eastAsia"/>
        </w:rPr>
        <w:t>的区域。使用的基肥应符合</w:t>
      </w:r>
      <w:r>
        <w:rPr>
          <w:rFonts w:ascii="宋体" w:hAnsi="宋体" w:cs="宋体"/>
        </w:rPr>
        <w:t>NY/T 394</w:t>
      </w:r>
      <w:r>
        <w:rPr>
          <w:rFonts w:ascii="宋体" w:hAnsi="宋体" w:cs="宋体" w:hint="eastAsia"/>
        </w:rPr>
        <w:t>规定。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6.1.2 </w:t>
      </w:r>
      <w:r>
        <w:rPr>
          <w:rFonts w:ascii="黑体" w:hAnsi="黑体" w:hint="eastAsia"/>
          <w:b w:val="0"/>
          <w:szCs w:val="21"/>
        </w:rPr>
        <w:t>土壤</w:t>
      </w:r>
      <w:r>
        <w:rPr>
          <w:rFonts w:ascii="黑体" w:hAnsi="黑体"/>
          <w:b w:val="0"/>
          <w:szCs w:val="21"/>
        </w:rPr>
        <w:t>PH</w:t>
      </w:r>
      <w:r>
        <w:rPr>
          <w:rFonts w:ascii="黑体" w:hAnsi="黑体" w:hint="eastAsia"/>
          <w:b w:val="0"/>
          <w:szCs w:val="21"/>
        </w:rPr>
        <w:t>值调节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适合西瓜生长的土壤</w:t>
      </w:r>
      <w:r>
        <w:rPr>
          <w:rFonts w:ascii="宋体" w:hAnsi="宋体" w:cs="宋体"/>
        </w:rPr>
        <w:t>PH</w:t>
      </w:r>
      <w:r>
        <w:rPr>
          <w:rFonts w:ascii="宋体" w:hAnsi="宋体" w:cs="宋体" w:hint="eastAsia"/>
        </w:rPr>
        <w:t>值在</w:t>
      </w:r>
      <w:r>
        <w:rPr>
          <w:rFonts w:ascii="宋体" w:hAnsi="宋体" w:cs="宋体"/>
        </w:rPr>
        <w:t>6.5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>之间。南方地区土壤</w:t>
      </w:r>
      <w:r>
        <w:rPr>
          <w:rFonts w:ascii="宋体" w:hAnsi="宋体" w:cs="宋体"/>
        </w:rPr>
        <w:t>PH</w:t>
      </w:r>
      <w:r>
        <w:rPr>
          <w:rFonts w:ascii="宋体" w:hAnsi="宋体" w:cs="宋体" w:hint="eastAsia"/>
        </w:rPr>
        <w:t>值普遍偏低，建议各地根据实际情况，于翻地前每亩施入</w:t>
      </w:r>
      <w:r>
        <w:rPr>
          <w:rFonts w:ascii="宋体" w:hAnsi="宋体" w:cs="宋体"/>
        </w:rPr>
        <w:t>150kg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300kg</w:t>
      </w:r>
      <w:r>
        <w:rPr>
          <w:rFonts w:ascii="宋体" w:hAnsi="宋体" w:cs="宋体" w:hint="eastAsia"/>
        </w:rPr>
        <w:t>的生石灰，提高土壤</w:t>
      </w:r>
      <w:r>
        <w:rPr>
          <w:rFonts w:ascii="宋体" w:hAnsi="宋体" w:cs="宋体"/>
        </w:rPr>
        <w:t>PH</w:t>
      </w:r>
      <w:r>
        <w:rPr>
          <w:rFonts w:ascii="宋体" w:hAnsi="宋体" w:cs="宋体" w:hint="eastAsia"/>
        </w:rPr>
        <w:t>值。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6.1.3 </w:t>
      </w:r>
      <w:r>
        <w:rPr>
          <w:rFonts w:ascii="黑体" w:hAnsi="黑体" w:hint="eastAsia"/>
          <w:b w:val="0"/>
          <w:szCs w:val="21"/>
        </w:rPr>
        <w:t>作畦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对瓜田进行深翻后作畦，采用深沟、高畦的作畦方式。根据品种特征特性，畦宽</w:t>
      </w:r>
      <w:r>
        <w:rPr>
          <w:rFonts w:ascii="宋体" w:hAnsi="宋体" w:cs="宋体"/>
        </w:rPr>
        <w:t>3.6</w:t>
      </w:r>
      <w:r>
        <w:rPr>
          <w:rFonts w:ascii="宋体" w:hAnsi="宋体" w:cs="宋体" w:hint="eastAsia"/>
        </w:rPr>
        <w:t>m～</w:t>
      </w:r>
      <w:r>
        <w:rPr>
          <w:rFonts w:ascii="宋体" w:hAnsi="宋体" w:cs="宋体"/>
        </w:rPr>
        <w:t>5.0m</w:t>
      </w:r>
      <w:r>
        <w:rPr>
          <w:rFonts w:ascii="宋体" w:hAnsi="宋体" w:cs="宋体" w:hint="eastAsia"/>
        </w:rPr>
        <w:t>，畦沟深</w:t>
      </w:r>
      <w:r>
        <w:rPr>
          <w:rFonts w:ascii="宋体" w:hAnsi="宋体" w:cs="宋体"/>
        </w:rPr>
        <w:t>0.4m</w:t>
      </w:r>
      <w:r>
        <w:rPr>
          <w:rFonts w:ascii="宋体" w:hAnsi="宋体" w:cs="宋体" w:hint="eastAsia"/>
        </w:rPr>
        <w:t>，畦长度不超过</w:t>
      </w:r>
      <w:r>
        <w:rPr>
          <w:rFonts w:ascii="宋体" w:hAnsi="宋体" w:cs="宋体"/>
        </w:rPr>
        <w:t>30m</w:t>
      </w:r>
      <w:r>
        <w:rPr>
          <w:rFonts w:ascii="宋体" w:hAnsi="宋体" w:cs="宋体" w:hint="eastAsia"/>
        </w:rPr>
        <w:t>，过长需要建腰沟，腰沟深</w:t>
      </w:r>
      <w:r>
        <w:rPr>
          <w:rFonts w:ascii="宋体" w:hAnsi="宋体" w:cs="宋体"/>
        </w:rPr>
        <w:t>0.45m</w:t>
      </w:r>
      <w:r>
        <w:rPr>
          <w:rFonts w:ascii="宋体" w:hAnsi="宋体" w:cs="宋体" w:hint="eastAsia"/>
        </w:rPr>
        <w:t>。瓜田周围开好围沟，围沟深</w:t>
      </w:r>
      <w:r>
        <w:rPr>
          <w:rFonts w:ascii="宋体" w:hAnsi="宋体" w:cs="宋体"/>
        </w:rPr>
        <w:t>0.5m</w:t>
      </w:r>
      <w:r>
        <w:rPr>
          <w:rFonts w:ascii="宋体" w:hAnsi="宋体" w:cs="宋体" w:hint="eastAsia"/>
        </w:rPr>
        <w:t>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6.1.4 </w:t>
      </w:r>
      <w:r>
        <w:rPr>
          <w:rFonts w:ascii="黑体" w:hAnsi="黑体" w:hint="eastAsia"/>
          <w:b w:val="0"/>
          <w:szCs w:val="21"/>
        </w:rPr>
        <w:t>铺设滴灌管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离畦沿约</w:t>
      </w:r>
      <w:r>
        <w:rPr>
          <w:rFonts w:ascii="宋体" w:hAnsi="宋体" w:cs="宋体"/>
        </w:rPr>
        <w:t>50cm</w:t>
      </w:r>
      <w:r>
        <w:rPr>
          <w:rFonts w:ascii="宋体" w:hAnsi="宋体" w:cs="宋体" w:hint="eastAsia"/>
        </w:rPr>
        <w:t>处沿定植行方向铺设一根</w:t>
      </w:r>
      <w:r>
        <w:rPr>
          <w:rFonts w:ascii="宋体" w:cs="宋体" w:hint="eastAsia"/>
        </w:rPr>
        <w:t>Φ</w:t>
      </w:r>
      <w:r>
        <w:rPr>
          <w:rFonts w:ascii="宋体" w:hAnsi="宋体" w:cs="宋体"/>
        </w:rPr>
        <w:t>16mm</w:t>
      </w:r>
      <w:r>
        <w:rPr>
          <w:rFonts w:ascii="宋体" w:hAnsi="宋体" w:cs="宋体" w:hint="eastAsia"/>
        </w:rPr>
        <w:t>滴灌管，每畦铺设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根。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6.1.5 </w:t>
      </w:r>
      <w:r>
        <w:rPr>
          <w:rFonts w:ascii="黑体" w:hAnsi="黑体" w:hint="eastAsia"/>
          <w:b w:val="0"/>
          <w:szCs w:val="21"/>
        </w:rPr>
        <w:t>地膜覆盖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每畦靠畦外侧沿定植行覆盖宽度为</w:t>
      </w:r>
      <w:r>
        <w:rPr>
          <w:rFonts w:ascii="宋体" w:hAnsi="宋体" w:cs="宋体"/>
        </w:rPr>
        <w:t>1m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1.2m</w:t>
      </w:r>
      <w:r>
        <w:rPr>
          <w:rFonts w:ascii="宋体" w:hAnsi="宋体" w:cs="宋体" w:hint="eastAsia"/>
        </w:rPr>
        <w:t>的地膜，其它地表裸露或覆盖稻草、除草布除草。春提早露地栽培宜选用白色或黑色地膜，夏秋季栽培宜选用银黑地膜。建议使用可降解地膜。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bookmarkStart w:id="6" w:name="_Toc6107"/>
      <w:bookmarkStart w:id="7" w:name="_Toc13001"/>
      <w:bookmarkStart w:id="8" w:name="_Toc11962"/>
      <w:r>
        <w:rPr>
          <w:rFonts w:ascii="黑体" w:hAnsi="黑体"/>
          <w:b w:val="0"/>
          <w:szCs w:val="21"/>
        </w:rPr>
        <w:t xml:space="preserve">6.2 </w:t>
      </w:r>
      <w:r>
        <w:rPr>
          <w:rFonts w:ascii="黑体" w:hAnsi="黑体" w:hint="eastAsia"/>
          <w:b w:val="0"/>
          <w:szCs w:val="21"/>
        </w:rPr>
        <w:t>定植</w:t>
      </w:r>
      <w:bookmarkEnd w:id="6"/>
      <w:bookmarkEnd w:id="7"/>
      <w:bookmarkEnd w:id="8"/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hint="eastAsia"/>
        </w:rPr>
        <w:t>待瓜苗</w:t>
      </w:r>
      <w:r>
        <w:t>3</w:t>
      </w:r>
      <w:r>
        <w:rPr>
          <w:rFonts w:hint="eastAsia"/>
        </w:rPr>
        <w:t>片真叶以上，早春露地白天气温稳定在</w:t>
      </w:r>
      <w:r>
        <w:t>15</w:t>
      </w:r>
      <w:r>
        <w:rPr>
          <w:rFonts w:hint="eastAsia"/>
        </w:rPr>
        <w:t>℃以上，地温稳定在</w:t>
      </w:r>
      <w:r>
        <w:t>12</w:t>
      </w:r>
      <w:r>
        <w:rPr>
          <w:rFonts w:hint="eastAsia"/>
        </w:rPr>
        <w:t>℃以上即可移栽定植。夏秋季应选择阴天或晴天下午</w:t>
      </w:r>
      <w:r>
        <w:t>5:00</w:t>
      </w:r>
      <w:r>
        <w:rPr>
          <w:rFonts w:hint="eastAsia"/>
        </w:rPr>
        <w:t>以后移栽定植。</w:t>
      </w:r>
      <w:r>
        <w:rPr>
          <w:rFonts w:ascii="宋体" w:hAnsi="宋体" w:cs="宋体" w:hint="eastAsia"/>
        </w:rPr>
        <w:t>定植前应给瓜苗浇足水。每</w:t>
      </w:r>
      <w:r>
        <w:rPr>
          <w:rFonts w:ascii="宋体" w:hAnsi="宋体" w:cs="宋体" w:hint="eastAsia"/>
        </w:rPr>
        <w:lastRenderedPageBreak/>
        <w:t>畦靠两边畦沟约</w:t>
      </w:r>
      <w:r>
        <w:rPr>
          <w:rFonts w:ascii="宋体" w:hAnsi="宋体" w:cs="宋体"/>
        </w:rPr>
        <w:t>25cm</w:t>
      </w:r>
      <w:r>
        <w:rPr>
          <w:rFonts w:ascii="宋体" w:hAnsi="宋体" w:cs="宋体" w:hint="eastAsia"/>
        </w:rPr>
        <w:t>位置各栽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行，株距应根据品种特性和栽培管理模式确定合理的株行距：实行精细管理的，株距一般为</w:t>
      </w:r>
      <w:r>
        <w:rPr>
          <w:rFonts w:ascii="宋体" w:hAnsi="宋体" w:cs="宋体"/>
        </w:rPr>
        <w:t>50cm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70cm</w:t>
      </w:r>
      <w:r>
        <w:rPr>
          <w:rFonts w:ascii="宋体" w:hAnsi="宋体" w:cs="宋体" w:hint="eastAsia"/>
        </w:rPr>
        <w:t>，每亩定植</w:t>
      </w:r>
      <w:r>
        <w:rPr>
          <w:rFonts w:ascii="宋体" w:hAnsi="宋体" w:cs="宋体"/>
        </w:rPr>
        <w:t>400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600</w:t>
      </w:r>
      <w:r>
        <w:rPr>
          <w:rFonts w:ascii="宋体" w:hAnsi="宋体" w:cs="宋体" w:hint="eastAsia"/>
        </w:rPr>
        <w:t>株；实行简约化栽培的，株距一般为</w:t>
      </w:r>
      <w:r>
        <w:rPr>
          <w:rFonts w:ascii="宋体" w:hAnsi="宋体" w:cs="宋体"/>
        </w:rPr>
        <w:t>1m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1.2m</w:t>
      </w:r>
      <w:r>
        <w:rPr>
          <w:rFonts w:ascii="宋体" w:hAnsi="宋体" w:cs="宋体" w:hint="eastAsia"/>
        </w:rPr>
        <w:t>，每亩定植</w:t>
      </w:r>
      <w:r>
        <w:rPr>
          <w:rFonts w:ascii="宋体" w:hAnsi="宋体" w:cs="宋体"/>
        </w:rPr>
        <w:t>300</w:t>
      </w:r>
      <w:r>
        <w:rPr>
          <w:rFonts w:ascii="宋体" w:hAnsi="宋体" w:cs="宋体" w:hint="eastAsia"/>
        </w:rPr>
        <w:t>株左右。定植时应注意轻拿轻放，以免损伤根系。定植后及时浇足定根水。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 </w:t>
      </w:r>
      <w:r>
        <w:rPr>
          <w:rFonts w:ascii="黑体" w:hAnsi="黑体" w:hint="eastAsia"/>
          <w:b w:val="0"/>
          <w:szCs w:val="21"/>
        </w:rPr>
        <w:t>田间管理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7.1 </w:t>
      </w:r>
      <w:r>
        <w:rPr>
          <w:rFonts w:ascii="黑体" w:hAnsi="黑体" w:hint="eastAsia"/>
          <w:b w:val="0"/>
          <w:szCs w:val="21"/>
        </w:rPr>
        <w:t>植株调整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 w:hAns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7.1.1 </w:t>
      </w:r>
      <w:r>
        <w:rPr>
          <w:rFonts w:ascii="黑体" w:hAnsi="黑体" w:hint="eastAsia"/>
          <w:b w:val="0"/>
          <w:szCs w:val="21"/>
        </w:rPr>
        <w:t>引蔓</w:t>
      </w:r>
      <w:r>
        <w:rPr>
          <w:rFonts w:ascii="黑体" w:hAnsi="黑体"/>
          <w:b w:val="0"/>
          <w:szCs w:val="21"/>
        </w:rPr>
        <w:t xml:space="preserve"> 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当主蔓长到约</w:t>
      </w:r>
      <w:r>
        <w:rPr>
          <w:rFonts w:ascii="宋体" w:hAnsi="宋体" w:cs="宋体"/>
        </w:rPr>
        <w:t>50cm</w:t>
      </w:r>
      <w:r>
        <w:rPr>
          <w:rFonts w:ascii="宋体" w:hAnsi="宋体" w:cs="宋体" w:hint="eastAsia"/>
        </w:rPr>
        <w:t>时，需要对西瓜进行第一次引蔓，引蔓时要用手捏住瓜苗的根茎处，慢慢扭转瓜苗向需要的方向，形成每畦双行对爬的态势。实行精细化管理的，以后应结合整枝，定期进行引蔓；实行简约化栽培的，以后不再整枝引蔓，放任瓜苗生长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7.1.2 </w:t>
      </w:r>
      <w:r>
        <w:rPr>
          <w:rFonts w:ascii="黑体" w:hAnsi="黑体" w:hint="eastAsia"/>
          <w:b w:val="0"/>
          <w:szCs w:val="21"/>
        </w:rPr>
        <w:t>整枝留瓜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实行精细化栽培的，一般采用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蔓整枝法，坐果前要及时清除侧枝。每株留一个瓜，一般留第二至第三个雌花为宜。歪果、裂果等商品性不佳的果实及多余果实均应摘除。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实行简约化栽培的，</w:t>
      </w:r>
      <w:r>
        <w:rPr>
          <w:rFonts w:hint="eastAsia"/>
        </w:rPr>
        <w:t>幼果生长至鸡蛋大时，及时剔除畸形瓜，选健壮果实留果，一般每株留</w:t>
      </w:r>
      <w:r>
        <w:t>1</w:t>
      </w:r>
      <w:r>
        <w:rPr>
          <w:rFonts w:hint="eastAsia"/>
        </w:rPr>
        <w:t>个果。整个生长期一般进行</w:t>
      </w:r>
      <w:r>
        <w:t>2</w:t>
      </w:r>
      <w:r>
        <w:rPr>
          <w:rFonts w:hint="eastAsia"/>
        </w:rPr>
        <w:t>～</w:t>
      </w:r>
      <w:r>
        <w:t>3</w:t>
      </w:r>
      <w:r>
        <w:rPr>
          <w:rFonts w:hint="eastAsia"/>
        </w:rPr>
        <w:t>次选果。</w:t>
      </w:r>
    </w:p>
    <w:p w:rsidR="00165ABB" w:rsidRDefault="00EE35D6" w:rsidP="007068F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</w:rPr>
        <w:t xml:space="preserve">7.2 </w:t>
      </w:r>
      <w:r>
        <w:rPr>
          <w:rFonts w:ascii="黑体" w:eastAsia="黑体" w:hAnsi="黑体" w:hint="eastAsia"/>
          <w:kern w:val="0"/>
        </w:rPr>
        <w:t>授粉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选择种植无籽西瓜的应注意套种有籽西瓜作为授粉源。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露地西瓜以昆虫授粉为主，建议在西瓜花期引入蜜蜂进行授粉，对没有条件引入蜜蜂的，花期应进行人工授粉。人工授粉一般于每天上午</w:t>
      </w:r>
      <w:r>
        <w:rPr>
          <w:rFonts w:ascii="宋体" w:hAnsi="宋体" w:cs="宋体"/>
        </w:rPr>
        <w:t>6:00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8:00</w:t>
      </w:r>
      <w:r>
        <w:rPr>
          <w:rFonts w:ascii="宋体" w:hAnsi="宋体" w:cs="宋体" w:hint="eastAsia"/>
        </w:rPr>
        <w:t>时进行，如遇雨天要进行盖花，授粉时应逐个标记日期，以利及时采收。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7.3 </w:t>
      </w:r>
      <w:r>
        <w:rPr>
          <w:rFonts w:ascii="黑体" w:hAnsi="黑体" w:hint="eastAsia"/>
          <w:b w:val="0"/>
          <w:szCs w:val="21"/>
        </w:rPr>
        <w:t>灌溉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雨季应确保排水沟渠畅通，做到雨停水干，田间不积水。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露地西瓜的灌溉用水应符合</w:t>
      </w:r>
      <w:r>
        <w:rPr>
          <w:rFonts w:ascii="宋体" w:hAnsi="宋体" w:cs="宋体"/>
        </w:rPr>
        <w:t xml:space="preserve"> NY/T 391</w:t>
      </w:r>
      <w:r>
        <w:rPr>
          <w:rFonts w:ascii="宋体" w:hAnsi="宋体" w:cs="宋体" w:hint="eastAsia"/>
        </w:rPr>
        <w:t>的规定。伸蔓期间根据土壤墒情进行浇水，对保水性较差沙壤土，应隔</w:t>
      </w:r>
      <w:r>
        <w:rPr>
          <w:rFonts w:ascii="宋体" w:hAnsi="宋体" w:cs="宋体"/>
        </w:rPr>
        <w:t>2d</w:t>
      </w:r>
      <w:r>
        <w:rPr>
          <w:rFonts w:ascii="宋体" w:hAnsi="宋体" w:cs="宋体" w:hint="eastAsia"/>
        </w:rPr>
        <w:t>滴水一次。果实长至鸡蛋大前须严格控制浇水，只在墒情差到影响坐果时才能浇小水。果实膨大期大量需水需肥，应每隔</w:t>
      </w:r>
      <w:r>
        <w:rPr>
          <w:rFonts w:ascii="宋体" w:hAnsi="宋体" w:cs="宋体"/>
        </w:rPr>
        <w:t>3d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5d</w:t>
      </w:r>
      <w:r>
        <w:rPr>
          <w:rFonts w:ascii="宋体" w:hAnsi="宋体" w:cs="宋体" w:hint="eastAsia"/>
        </w:rPr>
        <w:t>滴水一次。果实采收前</w:t>
      </w:r>
      <w:r>
        <w:rPr>
          <w:rFonts w:ascii="宋体" w:hAnsi="宋体" w:cs="宋体"/>
        </w:rPr>
        <w:t>7d</w:t>
      </w:r>
      <w:r>
        <w:rPr>
          <w:rFonts w:ascii="宋体" w:hAnsi="宋体" w:cs="宋体" w:hint="eastAsia"/>
        </w:rPr>
        <w:t>内禁止浇水，以利于西瓜糖度上升。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7.4 </w:t>
      </w:r>
      <w:r>
        <w:rPr>
          <w:rFonts w:ascii="黑体" w:hAnsi="黑体" w:hint="eastAsia"/>
          <w:b w:val="0"/>
          <w:szCs w:val="21"/>
        </w:rPr>
        <w:t>追肥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追肥应符合</w:t>
      </w:r>
      <w:r>
        <w:rPr>
          <w:rFonts w:ascii="宋体" w:hAnsi="宋体" w:cs="宋体"/>
        </w:rPr>
        <w:t>NY/T 394</w:t>
      </w:r>
      <w:r>
        <w:rPr>
          <w:rFonts w:ascii="宋体" w:hAnsi="宋体" w:cs="宋体" w:hint="eastAsia"/>
        </w:rPr>
        <w:t>规定，应以不含氯速效肥料为主，掌握少量多次的原则。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幼苗成活后用</w:t>
      </w:r>
      <w:r>
        <w:rPr>
          <w:rFonts w:ascii="宋体" w:hAnsi="宋体" w:cs="宋体"/>
        </w:rPr>
        <w:t>30%</w:t>
      </w:r>
      <w:r>
        <w:rPr>
          <w:rFonts w:ascii="宋体" w:hAnsi="宋体" w:cs="宋体" w:hint="eastAsia"/>
        </w:rPr>
        <w:t>的腐熟人粪尿或</w:t>
      </w:r>
      <w:r>
        <w:rPr>
          <w:rFonts w:ascii="宋体" w:hAnsi="宋体" w:cs="宋体"/>
        </w:rPr>
        <w:t>0.3%</w:t>
      </w:r>
      <w:r>
        <w:rPr>
          <w:rFonts w:ascii="宋体" w:hAnsi="宋体" w:cs="宋体" w:hint="eastAsia"/>
        </w:rPr>
        <w:t>的硫酸铵水溶淋施提苗，之后视天气于</w:t>
      </w:r>
      <w:r>
        <w:rPr>
          <w:rFonts w:ascii="宋体" w:hAnsi="宋体" w:cs="宋体"/>
        </w:rPr>
        <w:t>5d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7d</w:t>
      </w:r>
      <w:r>
        <w:rPr>
          <w:rFonts w:ascii="宋体" w:hAnsi="宋体" w:cs="宋体" w:hint="eastAsia"/>
        </w:rPr>
        <w:t>再用硫酸铵随水滴灌施肥一次，用量</w:t>
      </w:r>
      <w:r>
        <w:rPr>
          <w:rFonts w:ascii="宋体" w:hAnsi="宋体" w:cs="宋体"/>
        </w:rPr>
        <w:t>5kg/</w:t>
      </w:r>
      <w:r>
        <w:rPr>
          <w:rFonts w:ascii="宋体" w:hAnsi="宋体" w:cs="宋体" w:hint="eastAsia"/>
        </w:rPr>
        <w:t>亩。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lastRenderedPageBreak/>
        <w:t>伸蔓期根据植株生长情况可使用全水溶性复合肥随滴灌追施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次，每次用量</w:t>
      </w:r>
      <w:r>
        <w:rPr>
          <w:rFonts w:ascii="宋体" w:hAnsi="宋体" w:cs="宋体"/>
        </w:rPr>
        <w:t>8 kg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10kg/</w:t>
      </w:r>
      <w:r>
        <w:rPr>
          <w:rFonts w:ascii="宋体" w:hAnsi="宋体" w:cs="宋体" w:hint="eastAsia"/>
        </w:rPr>
        <w:t>亩，对生长势弱的可每株埋施硫酸铵</w:t>
      </w:r>
      <w:r>
        <w:rPr>
          <w:rFonts w:ascii="宋体" w:hAnsi="宋体" w:cs="宋体"/>
        </w:rPr>
        <w:t>10g</w:t>
      </w:r>
      <w:r>
        <w:rPr>
          <w:rFonts w:ascii="宋体" w:hAnsi="宋体" w:cs="宋体" w:hint="eastAsia"/>
        </w:rPr>
        <w:t>。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果实横径约</w:t>
      </w:r>
      <w:r>
        <w:rPr>
          <w:rFonts w:ascii="宋体" w:hAnsi="宋体" w:cs="宋体"/>
        </w:rPr>
        <w:t>5cm</w:t>
      </w:r>
      <w:r>
        <w:rPr>
          <w:rFonts w:ascii="宋体" w:hAnsi="宋体" w:cs="宋体" w:hint="eastAsia"/>
        </w:rPr>
        <w:t>大小时，使用全水溶性复合肥随滴灌追施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次，用量约</w:t>
      </w:r>
      <w:r>
        <w:rPr>
          <w:rFonts w:ascii="宋体" w:hAnsi="宋体" w:cs="宋体"/>
        </w:rPr>
        <w:t>15kg/</w:t>
      </w:r>
      <w:r>
        <w:rPr>
          <w:rFonts w:ascii="宋体" w:hAnsi="宋体" w:cs="宋体" w:hint="eastAsia"/>
        </w:rPr>
        <w:t>亩；果实横径约</w:t>
      </w:r>
      <w:r>
        <w:rPr>
          <w:rFonts w:ascii="宋体" w:hAnsi="宋体" w:cs="宋体"/>
        </w:rPr>
        <w:t>15cm</w:t>
      </w:r>
      <w:r>
        <w:rPr>
          <w:rFonts w:ascii="宋体" w:hAnsi="宋体" w:cs="宋体" w:hint="eastAsia"/>
        </w:rPr>
        <w:t>大小时，再随滴灌追施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次，用量约</w:t>
      </w:r>
      <w:r>
        <w:rPr>
          <w:rFonts w:ascii="宋体" w:hAnsi="宋体" w:cs="宋体"/>
        </w:rPr>
        <w:t>20kg/</w:t>
      </w:r>
      <w:r>
        <w:rPr>
          <w:rFonts w:ascii="宋体" w:hAnsi="宋体" w:cs="宋体" w:hint="eastAsia"/>
        </w:rPr>
        <w:t>亩。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7.5</w:t>
      </w:r>
      <w:r>
        <w:rPr>
          <w:rFonts w:ascii="黑体" w:hAnsi="黑体" w:hint="eastAsia"/>
          <w:b w:val="0"/>
          <w:szCs w:val="21"/>
        </w:rPr>
        <w:t>病虫草鼠害防治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7.5.1 </w:t>
      </w:r>
      <w:r>
        <w:rPr>
          <w:rFonts w:ascii="黑体" w:hAnsi="黑体" w:hint="eastAsia"/>
          <w:b w:val="0"/>
          <w:szCs w:val="21"/>
        </w:rPr>
        <w:t>防治原则</w:t>
      </w:r>
    </w:p>
    <w:p w:rsidR="00165ABB" w:rsidRDefault="00EE35D6" w:rsidP="007068F3">
      <w:pPr>
        <w:pStyle w:val="1"/>
        <w:spacing w:beforeLines="50" w:afterLines="50" w:line="400" w:lineRule="atLeast"/>
        <w:ind w:firstLineChars="150" w:firstLine="315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按照“预防为主，综合防治”的植保方针，坚持以“农业防治、物理防治、生物防治为主，化学防治为辅”的原则。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7.5.2</w:t>
      </w:r>
      <w:r>
        <w:rPr>
          <w:rFonts w:ascii="黑体" w:hAnsi="黑体" w:hint="eastAsia"/>
          <w:b w:val="0"/>
          <w:szCs w:val="21"/>
        </w:rPr>
        <w:t>常见病虫草鼠害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西瓜病害主要有枯萎病、白粉病、疫病、炭疽病等；虫害主要有蚜虫、蓟马、瓜绢螟等；顽固性杂草主要有香附子、</w:t>
      </w:r>
      <w:r>
        <w:rPr>
          <w:rFonts w:hint="eastAsia"/>
          <w:color w:val="333333"/>
          <w:sz w:val="18"/>
          <w:szCs w:val="18"/>
          <w:shd w:val="clear" w:color="auto" w:fill="FFFFFF"/>
        </w:rPr>
        <w:t>马唐</w:t>
      </w:r>
      <w:r>
        <w:rPr>
          <w:rFonts w:ascii="宋体" w:hAnsi="宋体" w:cs="宋体" w:hint="eastAsia"/>
        </w:rPr>
        <w:t>、空心莲子草、牛筋草、</w:t>
      </w:r>
      <w:r>
        <w:rPr>
          <w:rFonts w:hint="eastAsia"/>
          <w:color w:val="333333"/>
          <w:sz w:val="18"/>
          <w:szCs w:val="18"/>
          <w:shd w:val="clear" w:color="auto" w:fill="FFFFFF"/>
        </w:rPr>
        <w:t>田旋花</w:t>
      </w:r>
      <w:r>
        <w:rPr>
          <w:rFonts w:ascii="宋体" w:hAnsi="宋体" w:cs="宋体" w:hint="eastAsia"/>
        </w:rPr>
        <w:t>等；鼠害主要有田鼠、黑线姬鼠等。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7.5.3</w:t>
      </w:r>
      <w:r>
        <w:rPr>
          <w:rFonts w:ascii="黑体" w:hAnsi="黑体" w:hint="eastAsia"/>
          <w:b w:val="0"/>
          <w:szCs w:val="21"/>
        </w:rPr>
        <w:t>防治措施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7.5.3.1 </w:t>
      </w:r>
      <w:r>
        <w:rPr>
          <w:rFonts w:ascii="黑体" w:hAnsi="黑体" w:hint="eastAsia"/>
          <w:b w:val="0"/>
          <w:szCs w:val="21"/>
        </w:rPr>
        <w:t>检疫防治</w:t>
      </w:r>
    </w:p>
    <w:p w:rsidR="00165ABB" w:rsidRDefault="00EE35D6">
      <w:pPr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加强对</w:t>
      </w:r>
      <w:r>
        <w:rPr>
          <w:rFonts w:ascii="宋体" w:hAnsi="宋体" w:cs="宋体" w:hint="eastAsia"/>
        </w:rPr>
        <w:t>细菌性果斑病的</w:t>
      </w:r>
      <w:r>
        <w:rPr>
          <w:rFonts w:ascii="宋体" w:hAnsi="宋体" w:cs="宋体" w:hint="eastAsia"/>
          <w:szCs w:val="21"/>
        </w:rPr>
        <w:t>检疫，不用病区的种子或苗子，发现病种应在当地销毁，严禁外销。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7.5.3.2 </w:t>
      </w:r>
      <w:r>
        <w:rPr>
          <w:rFonts w:ascii="黑体" w:hAnsi="黑体" w:hint="eastAsia"/>
          <w:b w:val="0"/>
          <w:szCs w:val="21"/>
        </w:rPr>
        <w:t>农业防治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选用抗病品种；实行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年以上的轮作，深耕晒垄；培育壮苗，建议使用嫁接苗；创造适宜的生育环境条件；增施经无害化处理的有机肥，适量使用化肥；清洁田园，病株残枝及时带出田园，集中处理。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7.5.3.3 </w:t>
      </w:r>
      <w:r>
        <w:rPr>
          <w:rFonts w:ascii="黑体" w:hAnsi="黑体" w:hint="eastAsia"/>
          <w:b w:val="0"/>
          <w:szCs w:val="21"/>
        </w:rPr>
        <w:t>物理防治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大田采用黄板、频振式杀虫灯、性诱剂防治蚜虫、蓟马和蛾类害虫；使用地膜、除草布或稻草覆盖减少田间杂草；在大田老鼠经常出没的地方，放置捕鼠器进行捕杀，防治鼠害。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7.5.3.4 </w:t>
      </w:r>
      <w:r>
        <w:rPr>
          <w:rFonts w:ascii="黑体" w:hAnsi="黑体" w:hint="eastAsia"/>
          <w:b w:val="0"/>
          <w:szCs w:val="21"/>
        </w:rPr>
        <w:t>生物防治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利用瓢虫、草蛉、蚜小蜂等天敌控制蚜虫；使用枯草芽孢杆菌、多抗霉素、申嗪霉素等植物源农药、微生物源农药防治病虫害。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>7.5.3.5</w:t>
      </w:r>
      <w:r>
        <w:rPr>
          <w:rFonts w:ascii="黑体" w:hAnsi="黑体" w:hint="eastAsia"/>
          <w:b w:val="0"/>
          <w:szCs w:val="21"/>
        </w:rPr>
        <w:t>化学防治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  <w:color w:val="000000"/>
        </w:rPr>
      </w:pPr>
      <w:r>
        <w:rPr>
          <w:rFonts w:ascii="宋体" w:hAnsi="宋体" w:cs="宋体" w:hint="eastAsia"/>
        </w:rPr>
        <w:t>农药使用应符合</w:t>
      </w:r>
      <w:r>
        <w:rPr>
          <w:rFonts w:ascii="宋体" w:hAnsi="宋体" w:cs="宋体"/>
        </w:rPr>
        <w:t xml:space="preserve"> NY/T 393 </w:t>
      </w:r>
      <w:r>
        <w:rPr>
          <w:rFonts w:ascii="宋体" w:hAnsi="宋体" w:cs="宋体" w:hint="eastAsia"/>
        </w:rPr>
        <w:t>最新版本的规定。严格按照农药安全使用间隔期用药，使用广普性除草剂时应选择无风天气施药，严防喷雾漂移至西瓜叶片。具体病虫草害化学用药情</w:t>
      </w:r>
      <w:r>
        <w:rPr>
          <w:rFonts w:ascii="宋体" w:hAnsi="宋体" w:cs="宋体" w:hint="eastAsia"/>
        </w:rPr>
        <w:lastRenderedPageBreak/>
        <w:t>况参照附录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/>
          <w:color w:val="000000"/>
        </w:rPr>
        <w:t xml:space="preserve"> 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8 </w:t>
      </w:r>
      <w:r>
        <w:rPr>
          <w:rFonts w:ascii="黑体" w:hAnsi="黑体" w:hint="eastAsia"/>
          <w:b w:val="0"/>
          <w:szCs w:val="21"/>
        </w:rPr>
        <w:t>采收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在本地销售的西瓜应在完全成熟时采收，外销品种可适当提前采收。采收产品应符合</w:t>
      </w:r>
      <w:r>
        <w:rPr>
          <w:rFonts w:ascii="宋体" w:hAnsi="宋体" w:cs="宋体"/>
        </w:rPr>
        <w:t>NY/T 427</w:t>
      </w:r>
      <w:r>
        <w:rPr>
          <w:rFonts w:ascii="宋体" w:hAnsi="宋体" w:cs="宋体" w:hint="eastAsia"/>
        </w:rPr>
        <w:t>中有关感官、理化指标、农药残留限量的规定，果实完整，新鲜清洁，无明显，无明显雹伤、日灼、病虫斑及机械伤，可溶性固形物含量≧</w:t>
      </w:r>
      <w:r>
        <w:rPr>
          <w:rFonts w:ascii="宋体" w:hAnsi="宋体" w:cs="宋体"/>
        </w:rPr>
        <w:t>10.5%</w:t>
      </w:r>
      <w:r>
        <w:rPr>
          <w:rFonts w:ascii="宋体" w:hAnsi="宋体" w:cs="宋体" w:hint="eastAsia"/>
        </w:rPr>
        <w:t>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9 </w:t>
      </w:r>
      <w:r>
        <w:rPr>
          <w:rFonts w:ascii="黑体" w:hAnsi="黑体" w:hint="eastAsia"/>
          <w:b w:val="0"/>
          <w:szCs w:val="21"/>
        </w:rPr>
        <w:t>包装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ind w:firstLineChars="200" w:firstLine="420"/>
        <w:rPr>
          <w:rFonts w:ascii="宋体" w:eastAsia="宋体" w:hAnsi="宋体" w:cs="宋体"/>
          <w:b w:val="0"/>
          <w:kern w:val="2"/>
          <w:szCs w:val="21"/>
        </w:rPr>
      </w:pPr>
      <w:r>
        <w:rPr>
          <w:rFonts w:ascii="宋体" w:eastAsia="宋体" w:hAnsi="宋体" w:cs="宋体" w:hint="eastAsia"/>
          <w:b w:val="0"/>
          <w:kern w:val="2"/>
          <w:szCs w:val="21"/>
        </w:rPr>
        <w:t>包装应符合</w:t>
      </w:r>
      <w:r>
        <w:rPr>
          <w:rFonts w:ascii="宋体" w:eastAsia="宋体" w:hAnsi="宋体" w:cs="宋体"/>
          <w:b w:val="0"/>
          <w:kern w:val="2"/>
          <w:szCs w:val="21"/>
        </w:rPr>
        <w:t>NY/T 658</w:t>
      </w:r>
      <w:r>
        <w:rPr>
          <w:rFonts w:ascii="宋体" w:eastAsia="宋体" w:hAnsi="宋体" w:cs="宋体" w:hint="eastAsia"/>
          <w:b w:val="0"/>
          <w:kern w:val="2"/>
          <w:szCs w:val="21"/>
        </w:rPr>
        <w:t>的规定。建议根据西瓜的形态和大小进行分级，选择合适的纸盒进行包装。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10 </w:t>
      </w:r>
      <w:r>
        <w:rPr>
          <w:rFonts w:ascii="黑体" w:hAnsi="黑体" w:hint="eastAsia"/>
          <w:b w:val="0"/>
          <w:szCs w:val="21"/>
        </w:rPr>
        <w:t>运输和储藏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运输和储藏应符合</w:t>
      </w:r>
      <w:r>
        <w:rPr>
          <w:rFonts w:ascii="宋体" w:hAnsi="宋体" w:cs="宋体"/>
        </w:rPr>
        <w:t>NY/T 1056</w:t>
      </w:r>
      <w:r>
        <w:rPr>
          <w:rFonts w:ascii="宋体" w:hAnsi="宋体" w:cs="宋体" w:hint="eastAsia"/>
        </w:rPr>
        <w:t>的要求。有条件的地方在运输前应进行预冷，运输过程中应轻装、轻卸，防止挤压和剧烈震动，不与有毒有害、易污染环境物质一起运输，运输时注意通风散热，防日晒雨淋。库内堆码应保证气流均匀流通。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11 </w:t>
      </w:r>
      <w:r>
        <w:rPr>
          <w:rFonts w:ascii="黑体" w:hAnsi="黑体" w:hint="eastAsia"/>
          <w:b w:val="0"/>
          <w:szCs w:val="21"/>
        </w:rPr>
        <w:t>生产废弃物的处理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农业投入品废弃物应集中收集并进行无害化处理；枝蔓、畸瓜、裂果应集中粉碎，加入降解促腐的生物菌剂，堆沤发酵成有机肥料，循环利用。生物菌剂应符合</w:t>
      </w:r>
      <w:r>
        <w:rPr>
          <w:rFonts w:ascii="宋体" w:hAnsi="宋体" w:cs="宋体"/>
        </w:rPr>
        <w:t>GB 20287</w:t>
      </w:r>
      <w:r>
        <w:rPr>
          <w:rFonts w:ascii="宋体" w:hAnsi="宋体" w:cs="宋体" w:hint="eastAsia"/>
        </w:rPr>
        <w:t>的要求。</w:t>
      </w:r>
    </w:p>
    <w:p w:rsidR="00165ABB" w:rsidRDefault="00EE35D6">
      <w:pPr>
        <w:pStyle w:val="a"/>
        <w:numPr>
          <w:ilvl w:val="0"/>
          <w:numId w:val="0"/>
        </w:numPr>
        <w:spacing w:before="156" w:after="156" w:line="400" w:lineRule="atLeast"/>
        <w:rPr>
          <w:rFonts w:ascii="黑体"/>
          <w:b w:val="0"/>
          <w:szCs w:val="21"/>
        </w:rPr>
      </w:pPr>
      <w:r>
        <w:rPr>
          <w:rFonts w:ascii="黑体" w:hAnsi="黑体"/>
          <w:b w:val="0"/>
          <w:szCs w:val="21"/>
        </w:rPr>
        <w:t xml:space="preserve">12 </w:t>
      </w:r>
      <w:r>
        <w:rPr>
          <w:rFonts w:ascii="黑体" w:hAnsi="黑体" w:hint="eastAsia"/>
          <w:b w:val="0"/>
          <w:szCs w:val="21"/>
        </w:rPr>
        <w:t>生产档案管理</w:t>
      </w:r>
    </w:p>
    <w:p w:rsidR="00165ABB" w:rsidRDefault="00EE35D6" w:rsidP="007068F3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生产者应建立绿色食品露地西瓜的生产档案，记录产地环境、栽培品种、生产技术、肥水管理、病虫草鼠害的发生和防治、采收和采后处理及运输储藏情况；所有记录应真实、准确、规范，并具有可追溯性；生产档案应有专人专柜保管，保存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年以上。</w:t>
      </w:r>
    </w:p>
    <w:p w:rsidR="00165ABB" w:rsidRDefault="00EE35D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color w:val="000000"/>
          <w:kern w:val="0"/>
          <w:szCs w:val="21"/>
        </w:rPr>
      </w:pPr>
      <w:r>
        <w:rPr>
          <w:rFonts w:ascii="黑体" w:eastAsia="黑体" w:hAnsi="Times New Roman"/>
          <w:color w:val="000000"/>
          <w:kern w:val="0"/>
          <w:szCs w:val="21"/>
        </w:rPr>
        <w:br w:type="page"/>
      </w:r>
      <w:r>
        <w:rPr>
          <w:rFonts w:ascii="黑体" w:eastAsia="黑体" w:hAnsi="Times New Roman" w:hint="eastAsia"/>
          <w:color w:val="000000"/>
          <w:kern w:val="0"/>
          <w:szCs w:val="21"/>
        </w:rPr>
        <w:lastRenderedPageBreak/>
        <w:t>附</w:t>
      </w:r>
      <w:r>
        <w:rPr>
          <w:rFonts w:ascii="黑体" w:eastAsia="黑体" w:hAnsi="Times New Roman"/>
          <w:color w:val="000000"/>
          <w:kern w:val="0"/>
          <w:szCs w:val="21"/>
        </w:rPr>
        <w:t xml:space="preserve">   </w:t>
      </w:r>
      <w:r>
        <w:rPr>
          <w:rFonts w:ascii="黑体" w:eastAsia="黑体" w:hAnsi="Times New Roman" w:hint="eastAsia"/>
          <w:color w:val="000000"/>
          <w:kern w:val="0"/>
          <w:szCs w:val="21"/>
        </w:rPr>
        <w:t>录</w:t>
      </w:r>
      <w:r>
        <w:rPr>
          <w:rFonts w:ascii="黑体" w:eastAsia="黑体" w:hAnsi="Times New Roman"/>
          <w:color w:val="000000"/>
          <w:kern w:val="0"/>
          <w:szCs w:val="21"/>
        </w:rPr>
        <w:t>A</w:t>
      </w:r>
    </w:p>
    <w:p w:rsidR="00165ABB" w:rsidRDefault="00EE35D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color w:val="000000"/>
          <w:kern w:val="0"/>
          <w:szCs w:val="21"/>
        </w:rPr>
      </w:pPr>
      <w:r>
        <w:rPr>
          <w:rFonts w:ascii="黑体" w:eastAsia="黑体" w:hAnsi="Times New Roman" w:hint="eastAsia"/>
          <w:color w:val="000000"/>
          <w:kern w:val="0"/>
          <w:szCs w:val="21"/>
        </w:rPr>
        <w:t>（资料性附录）</w:t>
      </w:r>
    </w:p>
    <w:p w:rsidR="00165ABB" w:rsidRDefault="00EE35D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color w:val="000000"/>
          <w:kern w:val="0"/>
          <w:szCs w:val="21"/>
        </w:rPr>
      </w:pPr>
      <w:r>
        <w:rPr>
          <w:rFonts w:ascii="黑体" w:eastAsia="黑体" w:hAnsi="Times New Roman" w:hint="eastAsia"/>
          <w:color w:val="000000"/>
          <w:kern w:val="0"/>
          <w:szCs w:val="21"/>
        </w:rPr>
        <w:t>长江流域  绿色食品露地西瓜生产主要病虫草害防治推荐农药使用方案</w:t>
      </w:r>
    </w:p>
    <w:p w:rsidR="00165ABB" w:rsidRDefault="00165ABB">
      <w:pPr>
        <w:tabs>
          <w:tab w:val="left" w:pos="360"/>
          <w:tab w:val="left" w:pos="6405"/>
        </w:tabs>
        <w:jc w:val="center"/>
        <w:rPr>
          <w:rFonts w:ascii="黑体" w:eastAsia="黑体"/>
          <w:color w:val="000000"/>
          <w:kern w:val="0"/>
        </w:rPr>
      </w:pPr>
    </w:p>
    <w:tbl>
      <w:tblPr>
        <w:tblW w:w="9252" w:type="dxa"/>
        <w:jc w:val="center"/>
        <w:tblInd w:w="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8"/>
        <w:gridCol w:w="1565"/>
        <w:gridCol w:w="2543"/>
        <w:gridCol w:w="1408"/>
        <w:gridCol w:w="992"/>
        <w:gridCol w:w="1276"/>
      </w:tblGrid>
      <w:tr w:rsidR="00165ABB" w:rsidTr="00DE07A5">
        <w:trPr>
          <w:trHeight w:val="454"/>
          <w:jc w:val="center"/>
        </w:trPr>
        <w:tc>
          <w:tcPr>
            <w:tcW w:w="1468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565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543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408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使用浓度</w:t>
            </w:r>
          </w:p>
          <w:p w:rsidR="00165ABB" w:rsidRDefault="00A13A11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g(ml)/亩</w:t>
            </w:r>
          </w:p>
        </w:tc>
        <w:tc>
          <w:tcPr>
            <w:tcW w:w="992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276" w:type="dxa"/>
            <w:vAlign w:val="center"/>
          </w:tcPr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安全间隔期</w:t>
            </w:r>
          </w:p>
          <w:p w:rsidR="00165ABB" w:rsidRDefault="00EE35D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天数</w:t>
            </w:r>
          </w:p>
        </w:tc>
      </w:tr>
      <w:tr w:rsidR="00FB60EF" w:rsidTr="00DE07A5">
        <w:trPr>
          <w:trHeight w:val="454"/>
          <w:jc w:val="center"/>
        </w:trPr>
        <w:tc>
          <w:tcPr>
            <w:tcW w:w="1468" w:type="dxa"/>
            <w:vMerge w:val="restart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枯萎病</w:t>
            </w:r>
          </w:p>
        </w:tc>
        <w:tc>
          <w:tcPr>
            <w:tcW w:w="1565" w:type="dxa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321AE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移栽定植时或定植后苗期</w:t>
            </w:r>
          </w:p>
        </w:tc>
        <w:tc>
          <w:tcPr>
            <w:tcW w:w="2543" w:type="dxa"/>
            <w:vAlign w:val="center"/>
          </w:tcPr>
          <w:p w:rsid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10亿芽孢/克枯草芽孢杆菌</w:t>
            </w:r>
            <w:r w:rsidR="00FB60E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408" w:type="dxa"/>
            <w:vAlign w:val="center"/>
          </w:tcPr>
          <w:p w:rsid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灌根：300-400倍液；穴施：2-3克/株</w:t>
            </w:r>
          </w:p>
        </w:tc>
        <w:tc>
          <w:tcPr>
            <w:tcW w:w="992" w:type="dxa"/>
            <w:vAlign w:val="center"/>
          </w:tcPr>
          <w:p w:rsidR="00FB60EF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灌根</w:t>
            </w:r>
          </w:p>
          <w:p w:rsid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穴施</w:t>
            </w:r>
          </w:p>
        </w:tc>
        <w:tc>
          <w:tcPr>
            <w:tcW w:w="1276" w:type="dxa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--</w:t>
            </w:r>
          </w:p>
        </w:tc>
      </w:tr>
      <w:tr w:rsidR="00FB60EF" w:rsidTr="00DE07A5">
        <w:trPr>
          <w:trHeight w:val="454"/>
          <w:jc w:val="center"/>
        </w:trPr>
        <w:tc>
          <w:tcPr>
            <w:tcW w:w="1468" w:type="dxa"/>
            <w:vMerge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FB60EF" w:rsidRPr="003321AE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43" w:type="dxa"/>
            <w:vAlign w:val="center"/>
          </w:tcPr>
          <w:p w:rsidR="00FB60EF" w:rsidRPr="003321AE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321AE"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0.3%</w:t>
            </w:r>
            <w:r w:rsidRPr="003321AE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多抗霉素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水剂</w:t>
            </w:r>
          </w:p>
        </w:tc>
        <w:tc>
          <w:tcPr>
            <w:tcW w:w="1408" w:type="dxa"/>
            <w:vAlign w:val="center"/>
          </w:tcPr>
          <w:p w:rsidR="00FB60EF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80-100倍</w:t>
            </w:r>
          </w:p>
        </w:tc>
        <w:tc>
          <w:tcPr>
            <w:tcW w:w="992" w:type="dxa"/>
            <w:vAlign w:val="center"/>
          </w:tcPr>
          <w:p w:rsidR="00FB60EF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276" w:type="dxa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--</w:t>
            </w:r>
          </w:p>
        </w:tc>
      </w:tr>
      <w:tr w:rsidR="00FB60EF" w:rsidTr="00DE07A5">
        <w:trPr>
          <w:trHeight w:val="454"/>
          <w:jc w:val="center"/>
        </w:trPr>
        <w:tc>
          <w:tcPr>
            <w:tcW w:w="1468" w:type="dxa"/>
            <w:vMerge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FB60EF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移栽时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、发病初期</w:t>
            </w:r>
          </w:p>
        </w:tc>
        <w:tc>
          <w:tcPr>
            <w:tcW w:w="2543" w:type="dxa"/>
            <w:vAlign w:val="center"/>
          </w:tcPr>
          <w:p w:rsidR="00FB60EF" w:rsidRPr="003321AE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1%</w:t>
            </w:r>
            <w:r w:rsidRPr="003321AE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申嗪霉素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408" w:type="dxa"/>
            <w:vAlign w:val="center"/>
          </w:tcPr>
          <w:p w:rsidR="00FB60EF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500-1000倍液</w:t>
            </w:r>
          </w:p>
        </w:tc>
        <w:tc>
          <w:tcPr>
            <w:tcW w:w="992" w:type="dxa"/>
            <w:vAlign w:val="center"/>
          </w:tcPr>
          <w:p w:rsidR="00FB60EF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1276" w:type="dxa"/>
            <w:vAlign w:val="center"/>
          </w:tcPr>
          <w:p w:rsidR="00FB60EF" w:rsidRDefault="00FB60E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BA5AEB" w:rsidTr="00DE07A5">
        <w:trPr>
          <w:trHeight w:val="454"/>
          <w:jc w:val="center"/>
        </w:trPr>
        <w:tc>
          <w:tcPr>
            <w:tcW w:w="1468" w:type="dxa"/>
            <w:vMerge w:val="restart"/>
            <w:vAlign w:val="center"/>
          </w:tcPr>
          <w:p w:rsidR="00000000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kern w:val="0"/>
                <w:sz w:val="18"/>
                <w:szCs w:val="18"/>
              </w:rPr>
              <w:t>炭疽病</w:t>
            </w:r>
          </w:p>
        </w:tc>
        <w:tc>
          <w:tcPr>
            <w:tcW w:w="1565" w:type="dxa"/>
            <w:vAlign w:val="center"/>
          </w:tcPr>
          <w:p w:rsidR="00BA5AEB" w:rsidRPr="00FB60EF" w:rsidRDefault="003F05EC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发病前或初期</w:t>
            </w:r>
          </w:p>
        </w:tc>
        <w:tc>
          <w:tcPr>
            <w:tcW w:w="2543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70%</w:t>
            </w: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甲基硫菌灵可湿性粉剂</w:t>
            </w:r>
          </w:p>
        </w:tc>
        <w:tc>
          <w:tcPr>
            <w:tcW w:w="1408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</w:t>
            </w: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80g</w:t>
            </w:r>
          </w:p>
        </w:tc>
        <w:tc>
          <w:tcPr>
            <w:tcW w:w="992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--</w:t>
            </w:r>
          </w:p>
        </w:tc>
      </w:tr>
      <w:tr w:rsidR="00BA5AEB" w:rsidTr="00DE07A5">
        <w:trPr>
          <w:trHeight w:val="454"/>
          <w:jc w:val="center"/>
        </w:trPr>
        <w:tc>
          <w:tcPr>
            <w:tcW w:w="1468" w:type="dxa"/>
            <w:vMerge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BA5AEB" w:rsidRPr="00FB60EF" w:rsidRDefault="00BA5AEB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43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50%</w:t>
            </w: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嘧菌酯悬浮剂</w:t>
            </w:r>
          </w:p>
        </w:tc>
        <w:tc>
          <w:tcPr>
            <w:tcW w:w="1408" w:type="dxa"/>
            <w:vAlign w:val="center"/>
          </w:tcPr>
          <w:p w:rsidR="00BA5AEB" w:rsidRPr="00FB60EF" w:rsidDel="00A13A11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2000</w:t>
            </w: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～</w:t>
            </w: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992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Pr="00FB60EF" w:rsidRDefault="003F05E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3F05E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BA5AEB" w:rsidTr="00DE07A5">
        <w:trPr>
          <w:trHeight w:val="222"/>
          <w:jc w:val="center"/>
        </w:trPr>
        <w:tc>
          <w:tcPr>
            <w:tcW w:w="1468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55B3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543" w:type="dxa"/>
            <w:vAlign w:val="center"/>
          </w:tcPr>
          <w:p w:rsidR="00BA5AEB" w:rsidRPr="00DE07A5" w:rsidRDefault="003F05EC" w:rsidP="00A55B31">
            <w:pPr>
              <w:widowControl/>
              <w:jc w:val="center"/>
              <w:textAlignment w:val="center"/>
              <w:rPr>
                <w:rFonts w:asci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50%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苯甲·硫磺水分散粒剂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55B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～</w:t>
            </w:r>
            <w:r w:rsidRPr="00A55B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BA5AEB" w:rsidTr="00DE07A5">
        <w:trPr>
          <w:trHeight w:val="454"/>
          <w:jc w:val="center"/>
        </w:trPr>
        <w:tc>
          <w:tcPr>
            <w:tcW w:w="1468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疫病</w:t>
            </w: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A55B31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发病前或发病初期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100克/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升氰霜唑悬浮剂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55B3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55-75毫升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BA5AEB" w:rsidTr="00DE07A5">
        <w:trPr>
          <w:trHeight w:val="131"/>
          <w:jc w:val="center"/>
        </w:trPr>
        <w:tc>
          <w:tcPr>
            <w:tcW w:w="1468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70%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啶虫脒水分散粒剂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2-4g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A5AEB" w:rsidTr="00DE07A5">
        <w:trPr>
          <w:trHeight w:val="131"/>
          <w:jc w:val="center"/>
        </w:trPr>
        <w:tc>
          <w:tcPr>
            <w:tcW w:w="1468" w:type="dxa"/>
            <w:vMerge w:val="restart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蓟马</w:t>
            </w:r>
          </w:p>
        </w:tc>
        <w:tc>
          <w:tcPr>
            <w:tcW w:w="1565" w:type="dxa"/>
            <w:vAlign w:val="center"/>
          </w:tcPr>
          <w:p w:rsidR="00BA5AEB" w:rsidRPr="00531284" w:rsidRDefault="00BA5AEB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31284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发生高峰前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60克/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升乙基多杀菌素悬浮剂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312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40-50毫升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A5AEB" w:rsidTr="00DE07A5">
        <w:trPr>
          <w:trHeight w:val="131"/>
          <w:jc w:val="center"/>
        </w:trPr>
        <w:tc>
          <w:tcPr>
            <w:tcW w:w="1468" w:type="dxa"/>
            <w:vMerge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531284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害虫初现时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溴氰虫酰胺可分散油悬浮剂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5312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33.3-40毫升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BA5AEB" w:rsidTr="00DE07A5">
        <w:trPr>
          <w:trHeight w:val="91"/>
          <w:jc w:val="center"/>
        </w:trPr>
        <w:tc>
          <w:tcPr>
            <w:tcW w:w="1468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Ansi="宋体" w:cs="宋体" w:hint="eastAsia"/>
                <w:color w:val="000000"/>
                <w:sz w:val="18"/>
                <w:szCs w:val="18"/>
              </w:rPr>
              <w:t>甜菜夜蛾</w:t>
            </w: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DE07A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虫卵孵华高峰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18"/>
                <w:szCs w:val="18"/>
              </w:rPr>
            </w:pPr>
            <w:bookmarkStart w:id="9" w:name="_GoBack"/>
            <w:bookmarkEnd w:id="9"/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氯虫苯甲酰胺悬浮剂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DE07A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45-60毫升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BA5AEB" w:rsidTr="00DE07A5">
        <w:trPr>
          <w:trHeight w:val="91"/>
          <w:jc w:val="center"/>
        </w:trPr>
        <w:tc>
          <w:tcPr>
            <w:tcW w:w="1468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hAnsi="宋体" w:cs="宋体"/>
                <w:color w:val="000000"/>
                <w:sz w:val="18"/>
                <w:szCs w:val="18"/>
              </w:rPr>
            </w:pPr>
            <w:r>
              <w:rPr>
                <w:rFonts w:hAnsi="宋体" w:cs="宋体" w:hint="eastAsia"/>
                <w:color w:val="000000"/>
                <w:sz w:val="18"/>
                <w:szCs w:val="18"/>
              </w:rPr>
              <w:t>一年生禾本科杂草</w:t>
            </w:r>
          </w:p>
        </w:tc>
        <w:tc>
          <w:tcPr>
            <w:tcW w:w="1565" w:type="dxa"/>
            <w:vAlign w:val="center"/>
          </w:tcPr>
          <w:p w:rsidR="00BA5AEB" w:rsidRDefault="00BA5AE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kern w:val="0"/>
                <w:sz w:val="18"/>
                <w:szCs w:val="18"/>
              </w:rPr>
              <w:t>禾本科杂草</w:t>
            </w:r>
            <w:r>
              <w:rPr>
                <w:rFonts w:ascii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叶期</w:t>
            </w:r>
          </w:p>
        </w:tc>
        <w:tc>
          <w:tcPr>
            <w:tcW w:w="2543" w:type="dxa"/>
            <w:vAlign w:val="center"/>
          </w:tcPr>
          <w:p w:rsidR="00BA5AEB" w:rsidRPr="00DE07A5" w:rsidRDefault="003F05E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5%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shd w:val="clear" w:color="auto" w:fill="FFFFFF"/>
              </w:rPr>
              <w:t>精喹禾灵乳油</w:t>
            </w:r>
          </w:p>
        </w:tc>
        <w:tc>
          <w:tcPr>
            <w:tcW w:w="1408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ml</w:t>
            </w:r>
          </w:p>
        </w:tc>
        <w:tc>
          <w:tcPr>
            <w:tcW w:w="992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276" w:type="dxa"/>
            <w:vAlign w:val="center"/>
          </w:tcPr>
          <w:p w:rsidR="00BA5AEB" w:rsidRDefault="00BA5AE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每个作物周期最多使用1次</w:t>
            </w:r>
          </w:p>
        </w:tc>
      </w:tr>
      <w:tr w:rsidR="00BA5AEB" w:rsidTr="00DE07A5">
        <w:trPr>
          <w:trHeight w:val="454"/>
          <w:jc w:val="center"/>
        </w:trPr>
        <w:tc>
          <w:tcPr>
            <w:tcW w:w="9252" w:type="dxa"/>
            <w:gridSpan w:val="6"/>
            <w:vAlign w:val="center"/>
          </w:tcPr>
          <w:p w:rsidR="00BA5AEB" w:rsidRDefault="00BA5AEB">
            <w:pPr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农药使用应以最新版本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NY/T 393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165ABB" w:rsidRDefault="003F05EC">
      <w:pPr>
        <w:spacing w:line="400" w:lineRule="atLeast"/>
        <w:ind w:firstLineChars="200" w:firstLine="422"/>
        <w:contextualSpacing/>
        <w:rPr>
          <w:rFonts w:ascii="宋体" w:cs="宋体"/>
          <w:color w:val="000000"/>
          <w:sz w:val="28"/>
          <w:szCs w:val="28"/>
        </w:rPr>
      </w:pPr>
      <w:r w:rsidRPr="003F05EC">
        <w:rPr>
          <w:rFonts w:ascii="宋体" w:cs="宋体"/>
          <w:b/>
          <w:color w:val="000000"/>
          <w:szCs w:val="21"/>
        </w:rPr>
        <w:pict>
          <v:rect id="_x0000_i1025" style="width:147.45pt;height:.05pt" o:hrpct="355" o:hralign="center" o:hrstd="t" o:hr="t" fillcolor="#a0a0a0" stroked="f"/>
        </w:pict>
      </w:r>
    </w:p>
    <w:p w:rsidR="00165ABB" w:rsidRDefault="00165ABB">
      <w:pPr>
        <w:spacing w:line="400" w:lineRule="atLeast"/>
        <w:ind w:firstLineChars="200" w:firstLine="420"/>
        <w:contextualSpacing/>
        <w:rPr>
          <w:rFonts w:ascii="宋体" w:cs="宋体"/>
          <w:color w:val="000000"/>
          <w:szCs w:val="21"/>
        </w:rPr>
      </w:pPr>
    </w:p>
    <w:sectPr w:rsidR="00165ABB" w:rsidSect="0016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09A" w:rsidRDefault="00A0709A" w:rsidP="00F21555">
      <w:r>
        <w:separator/>
      </w:r>
    </w:p>
  </w:endnote>
  <w:endnote w:type="continuationSeparator" w:id="1">
    <w:p w:rsidR="00A0709A" w:rsidRDefault="00A0709A" w:rsidP="00F21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09A" w:rsidRDefault="00A0709A" w:rsidP="00F21555">
      <w:r>
        <w:separator/>
      </w:r>
    </w:p>
  </w:footnote>
  <w:footnote w:type="continuationSeparator" w:id="1">
    <w:p w:rsidR="00A0709A" w:rsidRDefault="00A0709A" w:rsidP="00F215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42"/>
      </w:pPr>
      <w:rPr>
        <w:rFonts w:ascii="黑体" w:eastAsia="黑体" w:hAnsi="Times New Roman" w:cs="Times New Roman" w:hint="eastAsia"/>
        <w:b w:val="0"/>
        <w:i w:val="0"/>
        <w:sz w:val="28"/>
        <w:szCs w:val="28"/>
      </w:rPr>
    </w:lvl>
    <w:lvl w:ilvl="2">
      <w:start w:val="1"/>
      <w:numFmt w:val="decimal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4DA501A1"/>
    <w:multiLevelType w:val="multilevel"/>
    <w:tmpl w:val="4DA501A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a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obe bryant">
    <w15:presenceInfo w15:providerId="WPS Office" w15:userId="9469872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78BA"/>
    <w:rsid w:val="00010D47"/>
    <w:rsid w:val="00014BD3"/>
    <w:rsid w:val="00016A58"/>
    <w:rsid w:val="00025D3A"/>
    <w:rsid w:val="00027D57"/>
    <w:rsid w:val="00030D50"/>
    <w:rsid w:val="00032981"/>
    <w:rsid w:val="00041193"/>
    <w:rsid w:val="0004388E"/>
    <w:rsid w:val="00043C85"/>
    <w:rsid w:val="00047F36"/>
    <w:rsid w:val="000508C0"/>
    <w:rsid w:val="00052D53"/>
    <w:rsid w:val="00057FF1"/>
    <w:rsid w:val="000626EE"/>
    <w:rsid w:val="000800AB"/>
    <w:rsid w:val="0008171C"/>
    <w:rsid w:val="00082DF9"/>
    <w:rsid w:val="000858F0"/>
    <w:rsid w:val="00092BF7"/>
    <w:rsid w:val="0009351B"/>
    <w:rsid w:val="000945C0"/>
    <w:rsid w:val="000A3209"/>
    <w:rsid w:val="000A49D9"/>
    <w:rsid w:val="000A6FA7"/>
    <w:rsid w:val="000B517C"/>
    <w:rsid w:val="000B7837"/>
    <w:rsid w:val="000C1449"/>
    <w:rsid w:val="000C4EA5"/>
    <w:rsid w:val="000C6595"/>
    <w:rsid w:val="000D21DC"/>
    <w:rsid w:val="000D4CF0"/>
    <w:rsid w:val="000D6298"/>
    <w:rsid w:val="000D6A7D"/>
    <w:rsid w:val="000D718D"/>
    <w:rsid w:val="000E08EE"/>
    <w:rsid w:val="000F13CD"/>
    <w:rsid w:val="000F40D0"/>
    <w:rsid w:val="000F70FD"/>
    <w:rsid w:val="001000D3"/>
    <w:rsid w:val="00101686"/>
    <w:rsid w:val="00102BAF"/>
    <w:rsid w:val="001059C2"/>
    <w:rsid w:val="00120F5C"/>
    <w:rsid w:val="001214BA"/>
    <w:rsid w:val="00131E86"/>
    <w:rsid w:val="00132E98"/>
    <w:rsid w:val="001334DD"/>
    <w:rsid w:val="001336B8"/>
    <w:rsid w:val="0013500C"/>
    <w:rsid w:val="001401D9"/>
    <w:rsid w:val="00140A4B"/>
    <w:rsid w:val="0014157B"/>
    <w:rsid w:val="00152B22"/>
    <w:rsid w:val="00155F56"/>
    <w:rsid w:val="00161EC3"/>
    <w:rsid w:val="00164365"/>
    <w:rsid w:val="00165000"/>
    <w:rsid w:val="00165094"/>
    <w:rsid w:val="00165ABB"/>
    <w:rsid w:val="00165F7B"/>
    <w:rsid w:val="00166DC5"/>
    <w:rsid w:val="00171C2C"/>
    <w:rsid w:val="00173CA5"/>
    <w:rsid w:val="00175685"/>
    <w:rsid w:val="00176739"/>
    <w:rsid w:val="00176B7C"/>
    <w:rsid w:val="00177AEB"/>
    <w:rsid w:val="00193AEF"/>
    <w:rsid w:val="00195C78"/>
    <w:rsid w:val="00196F6A"/>
    <w:rsid w:val="0019723F"/>
    <w:rsid w:val="001A05E0"/>
    <w:rsid w:val="001B7CC3"/>
    <w:rsid w:val="001C7D6C"/>
    <w:rsid w:val="001D1D92"/>
    <w:rsid w:val="001D33B6"/>
    <w:rsid w:val="001D426D"/>
    <w:rsid w:val="001E1AE2"/>
    <w:rsid w:val="001E262E"/>
    <w:rsid w:val="001E5770"/>
    <w:rsid w:val="001E5E67"/>
    <w:rsid w:val="001F5B6E"/>
    <w:rsid w:val="00201577"/>
    <w:rsid w:val="002019A1"/>
    <w:rsid w:val="002122A5"/>
    <w:rsid w:val="0021541C"/>
    <w:rsid w:val="002211D6"/>
    <w:rsid w:val="00226C83"/>
    <w:rsid w:val="00230059"/>
    <w:rsid w:val="002324E4"/>
    <w:rsid w:val="002334D8"/>
    <w:rsid w:val="0024274F"/>
    <w:rsid w:val="002460CA"/>
    <w:rsid w:val="00246596"/>
    <w:rsid w:val="0025363E"/>
    <w:rsid w:val="00254E11"/>
    <w:rsid w:val="00256A41"/>
    <w:rsid w:val="00256B35"/>
    <w:rsid w:val="002610DC"/>
    <w:rsid w:val="00273CF5"/>
    <w:rsid w:val="002843BC"/>
    <w:rsid w:val="00285292"/>
    <w:rsid w:val="002875A5"/>
    <w:rsid w:val="002952E6"/>
    <w:rsid w:val="002956C0"/>
    <w:rsid w:val="002A3270"/>
    <w:rsid w:val="002A6F99"/>
    <w:rsid w:val="002D60FC"/>
    <w:rsid w:val="002E1632"/>
    <w:rsid w:val="002E4181"/>
    <w:rsid w:val="00301087"/>
    <w:rsid w:val="003055B9"/>
    <w:rsid w:val="003062C0"/>
    <w:rsid w:val="003063CC"/>
    <w:rsid w:val="00307329"/>
    <w:rsid w:val="00313718"/>
    <w:rsid w:val="00314054"/>
    <w:rsid w:val="0032130D"/>
    <w:rsid w:val="00321E6A"/>
    <w:rsid w:val="00323264"/>
    <w:rsid w:val="003264AD"/>
    <w:rsid w:val="003321AE"/>
    <w:rsid w:val="00333737"/>
    <w:rsid w:val="0033437A"/>
    <w:rsid w:val="003415A1"/>
    <w:rsid w:val="00343081"/>
    <w:rsid w:val="00344851"/>
    <w:rsid w:val="003470DE"/>
    <w:rsid w:val="00351C6C"/>
    <w:rsid w:val="003568E3"/>
    <w:rsid w:val="0036786F"/>
    <w:rsid w:val="00367D81"/>
    <w:rsid w:val="00370E24"/>
    <w:rsid w:val="00373CD5"/>
    <w:rsid w:val="0038067B"/>
    <w:rsid w:val="00380E97"/>
    <w:rsid w:val="00386CBA"/>
    <w:rsid w:val="00394164"/>
    <w:rsid w:val="003A2F33"/>
    <w:rsid w:val="003B16F4"/>
    <w:rsid w:val="003B4CD5"/>
    <w:rsid w:val="003B5258"/>
    <w:rsid w:val="003D5733"/>
    <w:rsid w:val="003E06F5"/>
    <w:rsid w:val="003E6EC0"/>
    <w:rsid w:val="003F052C"/>
    <w:rsid w:val="003F05EC"/>
    <w:rsid w:val="003F392F"/>
    <w:rsid w:val="003F5A29"/>
    <w:rsid w:val="004044F1"/>
    <w:rsid w:val="0040728B"/>
    <w:rsid w:val="00410747"/>
    <w:rsid w:val="00417A29"/>
    <w:rsid w:val="00421F14"/>
    <w:rsid w:val="004225AF"/>
    <w:rsid w:val="004228D4"/>
    <w:rsid w:val="00423D0C"/>
    <w:rsid w:val="00425EA6"/>
    <w:rsid w:val="00432245"/>
    <w:rsid w:val="00446BF0"/>
    <w:rsid w:val="00452266"/>
    <w:rsid w:val="004541A3"/>
    <w:rsid w:val="00454821"/>
    <w:rsid w:val="00455D2C"/>
    <w:rsid w:val="004565C7"/>
    <w:rsid w:val="00457CF8"/>
    <w:rsid w:val="004623CB"/>
    <w:rsid w:val="00467786"/>
    <w:rsid w:val="00475667"/>
    <w:rsid w:val="00476AF1"/>
    <w:rsid w:val="004831A4"/>
    <w:rsid w:val="00487D13"/>
    <w:rsid w:val="00493B34"/>
    <w:rsid w:val="00495CB8"/>
    <w:rsid w:val="00497A20"/>
    <w:rsid w:val="004A057E"/>
    <w:rsid w:val="004B35FC"/>
    <w:rsid w:val="004B40B7"/>
    <w:rsid w:val="004D56E7"/>
    <w:rsid w:val="004E6B0C"/>
    <w:rsid w:val="005023DC"/>
    <w:rsid w:val="005132CE"/>
    <w:rsid w:val="0051610C"/>
    <w:rsid w:val="00516F1E"/>
    <w:rsid w:val="005308F9"/>
    <w:rsid w:val="00531284"/>
    <w:rsid w:val="00535850"/>
    <w:rsid w:val="00535A77"/>
    <w:rsid w:val="005436B7"/>
    <w:rsid w:val="0054418F"/>
    <w:rsid w:val="005475F1"/>
    <w:rsid w:val="005510C2"/>
    <w:rsid w:val="0056463E"/>
    <w:rsid w:val="00567796"/>
    <w:rsid w:val="005679C6"/>
    <w:rsid w:val="005734F9"/>
    <w:rsid w:val="0057375F"/>
    <w:rsid w:val="005829FD"/>
    <w:rsid w:val="00593B8B"/>
    <w:rsid w:val="00596CA0"/>
    <w:rsid w:val="005974F1"/>
    <w:rsid w:val="005B29AB"/>
    <w:rsid w:val="005B6771"/>
    <w:rsid w:val="005C0A94"/>
    <w:rsid w:val="005C46BA"/>
    <w:rsid w:val="005D575E"/>
    <w:rsid w:val="005E00B3"/>
    <w:rsid w:val="005E3C8C"/>
    <w:rsid w:val="005F0760"/>
    <w:rsid w:val="005F4A93"/>
    <w:rsid w:val="005F4BFF"/>
    <w:rsid w:val="00604633"/>
    <w:rsid w:val="00605D06"/>
    <w:rsid w:val="006109F8"/>
    <w:rsid w:val="00610B02"/>
    <w:rsid w:val="00611F2B"/>
    <w:rsid w:val="0061200B"/>
    <w:rsid w:val="00615256"/>
    <w:rsid w:val="006158DB"/>
    <w:rsid w:val="0062721A"/>
    <w:rsid w:val="00630E82"/>
    <w:rsid w:val="00631D20"/>
    <w:rsid w:val="006325EF"/>
    <w:rsid w:val="006345B2"/>
    <w:rsid w:val="00637295"/>
    <w:rsid w:val="006435A3"/>
    <w:rsid w:val="006504A2"/>
    <w:rsid w:val="00651C91"/>
    <w:rsid w:val="00662C3A"/>
    <w:rsid w:val="00671E80"/>
    <w:rsid w:val="00674CF7"/>
    <w:rsid w:val="00681E34"/>
    <w:rsid w:val="006827F5"/>
    <w:rsid w:val="00685479"/>
    <w:rsid w:val="006869AD"/>
    <w:rsid w:val="006954D0"/>
    <w:rsid w:val="006978E7"/>
    <w:rsid w:val="006A2525"/>
    <w:rsid w:val="006A63B2"/>
    <w:rsid w:val="006B17F4"/>
    <w:rsid w:val="006B3700"/>
    <w:rsid w:val="006B3912"/>
    <w:rsid w:val="006B4172"/>
    <w:rsid w:val="006C1453"/>
    <w:rsid w:val="006C185A"/>
    <w:rsid w:val="006C2BEB"/>
    <w:rsid w:val="006C2FA1"/>
    <w:rsid w:val="006D093D"/>
    <w:rsid w:val="006D316E"/>
    <w:rsid w:val="006D35E2"/>
    <w:rsid w:val="006E263A"/>
    <w:rsid w:val="006E275E"/>
    <w:rsid w:val="006F51FF"/>
    <w:rsid w:val="00700193"/>
    <w:rsid w:val="00700FC0"/>
    <w:rsid w:val="007037BA"/>
    <w:rsid w:val="007068F3"/>
    <w:rsid w:val="00707367"/>
    <w:rsid w:val="007079E8"/>
    <w:rsid w:val="007100B9"/>
    <w:rsid w:val="00712CE7"/>
    <w:rsid w:val="0071636C"/>
    <w:rsid w:val="00722ED9"/>
    <w:rsid w:val="00724B8E"/>
    <w:rsid w:val="00725212"/>
    <w:rsid w:val="00725696"/>
    <w:rsid w:val="0072762C"/>
    <w:rsid w:val="00731484"/>
    <w:rsid w:val="00732332"/>
    <w:rsid w:val="007324F7"/>
    <w:rsid w:val="007424F9"/>
    <w:rsid w:val="00752654"/>
    <w:rsid w:val="00756D94"/>
    <w:rsid w:val="00766A20"/>
    <w:rsid w:val="007839E4"/>
    <w:rsid w:val="00785411"/>
    <w:rsid w:val="00786A05"/>
    <w:rsid w:val="00793176"/>
    <w:rsid w:val="00793E6A"/>
    <w:rsid w:val="0079482C"/>
    <w:rsid w:val="0079592B"/>
    <w:rsid w:val="007A5C02"/>
    <w:rsid w:val="007A73F2"/>
    <w:rsid w:val="007B6238"/>
    <w:rsid w:val="007C22DD"/>
    <w:rsid w:val="007C26FE"/>
    <w:rsid w:val="007C5812"/>
    <w:rsid w:val="007C7557"/>
    <w:rsid w:val="007D0295"/>
    <w:rsid w:val="007D783E"/>
    <w:rsid w:val="007E2FA3"/>
    <w:rsid w:val="007F1373"/>
    <w:rsid w:val="007F1CFD"/>
    <w:rsid w:val="008041E3"/>
    <w:rsid w:val="008056E6"/>
    <w:rsid w:val="008110D4"/>
    <w:rsid w:val="008131DF"/>
    <w:rsid w:val="008167CB"/>
    <w:rsid w:val="008171F0"/>
    <w:rsid w:val="00817295"/>
    <w:rsid w:val="00821B7A"/>
    <w:rsid w:val="0082296A"/>
    <w:rsid w:val="00824E35"/>
    <w:rsid w:val="00825B05"/>
    <w:rsid w:val="00837154"/>
    <w:rsid w:val="00840DB3"/>
    <w:rsid w:val="0084288F"/>
    <w:rsid w:val="0084476A"/>
    <w:rsid w:val="00845655"/>
    <w:rsid w:val="00845AEC"/>
    <w:rsid w:val="00847ECE"/>
    <w:rsid w:val="00853810"/>
    <w:rsid w:val="00856062"/>
    <w:rsid w:val="00857E0E"/>
    <w:rsid w:val="00865DF4"/>
    <w:rsid w:val="008678EF"/>
    <w:rsid w:val="0087766A"/>
    <w:rsid w:val="00883E80"/>
    <w:rsid w:val="008854AF"/>
    <w:rsid w:val="008958B0"/>
    <w:rsid w:val="008A1FD9"/>
    <w:rsid w:val="008A4CB8"/>
    <w:rsid w:val="008A668F"/>
    <w:rsid w:val="008B07FB"/>
    <w:rsid w:val="008B21C1"/>
    <w:rsid w:val="008C39FC"/>
    <w:rsid w:val="008D461B"/>
    <w:rsid w:val="008E17E9"/>
    <w:rsid w:val="008E26DD"/>
    <w:rsid w:val="008E321E"/>
    <w:rsid w:val="008F2F5B"/>
    <w:rsid w:val="008F50EB"/>
    <w:rsid w:val="008F7CBC"/>
    <w:rsid w:val="00904B1E"/>
    <w:rsid w:val="00913274"/>
    <w:rsid w:val="00913520"/>
    <w:rsid w:val="0091474B"/>
    <w:rsid w:val="00917359"/>
    <w:rsid w:val="009215EF"/>
    <w:rsid w:val="00922387"/>
    <w:rsid w:val="009239FA"/>
    <w:rsid w:val="00927536"/>
    <w:rsid w:val="009278BB"/>
    <w:rsid w:val="00936FEA"/>
    <w:rsid w:val="00937D8A"/>
    <w:rsid w:val="00937E7B"/>
    <w:rsid w:val="009427F5"/>
    <w:rsid w:val="009430E7"/>
    <w:rsid w:val="009518BE"/>
    <w:rsid w:val="009549D5"/>
    <w:rsid w:val="0095593F"/>
    <w:rsid w:val="009600F9"/>
    <w:rsid w:val="009626D8"/>
    <w:rsid w:val="00970D55"/>
    <w:rsid w:val="00974FB4"/>
    <w:rsid w:val="00975FD1"/>
    <w:rsid w:val="00976780"/>
    <w:rsid w:val="0098198E"/>
    <w:rsid w:val="00982859"/>
    <w:rsid w:val="0099443E"/>
    <w:rsid w:val="00994CA6"/>
    <w:rsid w:val="009A0CD4"/>
    <w:rsid w:val="009A5E36"/>
    <w:rsid w:val="009B07A8"/>
    <w:rsid w:val="009B3441"/>
    <w:rsid w:val="009B44E5"/>
    <w:rsid w:val="009C0A33"/>
    <w:rsid w:val="009C2346"/>
    <w:rsid w:val="009C39DD"/>
    <w:rsid w:val="009C537C"/>
    <w:rsid w:val="009C6010"/>
    <w:rsid w:val="009D0405"/>
    <w:rsid w:val="009D7E39"/>
    <w:rsid w:val="009E1106"/>
    <w:rsid w:val="009E1956"/>
    <w:rsid w:val="009F6E33"/>
    <w:rsid w:val="00A0161D"/>
    <w:rsid w:val="00A0709A"/>
    <w:rsid w:val="00A1270C"/>
    <w:rsid w:val="00A12EC3"/>
    <w:rsid w:val="00A1363F"/>
    <w:rsid w:val="00A13A11"/>
    <w:rsid w:val="00A1631F"/>
    <w:rsid w:val="00A164F9"/>
    <w:rsid w:val="00A1773A"/>
    <w:rsid w:val="00A17F74"/>
    <w:rsid w:val="00A2004F"/>
    <w:rsid w:val="00A2065E"/>
    <w:rsid w:val="00A24997"/>
    <w:rsid w:val="00A27A6A"/>
    <w:rsid w:val="00A34658"/>
    <w:rsid w:val="00A36CF9"/>
    <w:rsid w:val="00A43012"/>
    <w:rsid w:val="00A4780D"/>
    <w:rsid w:val="00A55B31"/>
    <w:rsid w:val="00A62629"/>
    <w:rsid w:val="00A644AE"/>
    <w:rsid w:val="00A65D55"/>
    <w:rsid w:val="00A72E9D"/>
    <w:rsid w:val="00A742C1"/>
    <w:rsid w:val="00A770F2"/>
    <w:rsid w:val="00A80735"/>
    <w:rsid w:val="00A8563F"/>
    <w:rsid w:val="00A86306"/>
    <w:rsid w:val="00AA042D"/>
    <w:rsid w:val="00AA0932"/>
    <w:rsid w:val="00AB4F20"/>
    <w:rsid w:val="00AB5C59"/>
    <w:rsid w:val="00AC0CFD"/>
    <w:rsid w:val="00AC2262"/>
    <w:rsid w:val="00AC5C18"/>
    <w:rsid w:val="00AC7C63"/>
    <w:rsid w:val="00AD063F"/>
    <w:rsid w:val="00AD766D"/>
    <w:rsid w:val="00AE2894"/>
    <w:rsid w:val="00AE5AD4"/>
    <w:rsid w:val="00AE7150"/>
    <w:rsid w:val="00AF316F"/>
    <w:rsid w:val="00AF616E"/>
    <w:rsid w:val="00AF6722"/>
    <w:rsid w:val="00B0301E"/>
    <w:rsid w:val="00B04096"/>
    <w:rsid w:val="00B136BC"/>
    <w:rsid w:val="00B14D46"/>
    <w:rsid w:val="00B1769C"/>
    <w:rsid w:val="00B2080B"/>
    <w:rsid w:val="00B2173A"/>
    <w:rsid w:val="00B22D0E"/>
    <w:rsid w:val="00B25AE6"/>
    <w:rsid w:val="00B26323"/>
    <w:rsid w:val="00B3024C"/>
    <w:rsid w:val="00B323FC"/>
    <w:rsid w:val="00B34DAD"/>
    <w:rsid w:val="00B41E19"/>
    <w:rsid w:val="00B46084"/>
    <w:rsid w:val="00B51A03"/>
    <w:rsid w:val="00B56336"/>
    <w:rsid w:val="00B57656"/>
    <w:rsid w:val="00B64741"/>
    <w:rsid w:val="00B7028C"/>
    <w:rsid w:val="00B7718F"/>
    <w:rsid w:val="00B819C9"/>
    <w:rsid w:val="00B9447E"/>
    <w:rsid w:val="00BA5AEB"/>
    <w:rsid w:val="00BA6A11"/>
    <w:rsid w:val="00BA71E3"/>
    <w:rsid w:val="00BA776B"/>
    <w:rsid w:val="00BB0EBC"/>
    <w:rsid w:val="00BB409C"/>
    <w:rsid w:val="00BB45E6"/>
    <w:rsid w:val="00BB653D"/>
    <w:rsid w:val="00BC56FB"/>
    <w:rsid w:val="00BC78AB"/>
    <w:rsid w:val="00BD05CD"/>
    <w:rsid w:val="00BD66EF"/>
    <w:rsid w:val="00BE068F"/>
    <w:rsid w:val="00BE1188"/>
    <w:rsid w:val="00BE70D6"/>
    <w:rsid w:val="00BE7988"/>
    <w:rsid w:val="00BF1130"/>
    <w:rsid w:val="00BF15FB"/>
    <w:rsid w:val="00BF1A85"/>
    <w:rsid w:val="00C024D2"/>
    <w:rsid w:val="00C039F9"/>
    <w:rsid w:val="00C04507"/>
    <w:rsid w:val="00C0692D"/>
    <w:rsid w:val="00C06E3C"/>
    <w:rsid w:val="00C07BEB"/>
    <w:rsid w:val="00C3350C"/>
    <w:rsid w:val="00C34BBE"/>
    <w:rsid w:val="00C47949"/>
    <w:rsid w:val="00C51050"/>
    <w:rsid w:val="00C56D0B"/>
    <w:rsid w:val="00C72929"/>
    <w:rsid w:val="00C7342C"/>
    <w:rsid w:val="00C86A31"/>
    <w:rsid w:val="00C92879"/>
    <w:rsid w:val="00CA1DF4"/>
    <w:rsid w:val="00CB1B6C"/>
    <w:rsid w:val="00CB2088"/>
    <w:rsid w:val="00CB5529"/>
    <w:rsid w:val="00CC33C2"/>
    <w:rsid w:val="00CD4220"/>
    <w:rsid w:val="00CD7F8B"/>
    <w:rsid w:val="00CE04DC"/>
    <w:rsid w:val="00CE0B56"/>
    <w:rsid w:val="00CE0E58"/>
    <w:rsid w:val="00CE1578"/>
    <w:rsid w:val="00CF4604"/>
    <w:rsid w:val="00D13695"/>
    <w:rsid w:val="00D139D6"/>
    <w:rsid w:val="00D14F5F"/>
    <w:rsid w:val="00D210EA"/>
    <w:rsid w:val="00D21196"/>
    <w:rsid w:val="00D253C8"/>
    <w:rsid w:val="00D37EAB"/>
    <w:rsid w:val="00D40F90"/>
    <w:rsid w:val="00D43620"/>
    <w:rsid w:val="00D51A66"/>
    <w:rsid w:val="00D51B87"/>
    <w:rsid w:val="00D56C71"/>
    <w:rsid w:val="00D56F01"/>
    <w:rsid w:val="00D57565"/>
    <w:rsid w:val="00D60CBE"/>
    <w:rsid w:val="00D6343D"/>
    <w:rsid w:val="00D647CD"/>
    <w:rsid w:val="00D64BBE"/>
    <w:rsid w:val="00D751D6"/>
    <w:rsid w:val="00D83164"/>
    <w:rsid w:val="00D84C30"/>
    <w:rsid w:val="00D86068"/>
    <w:rsid w:val="00D87C01"/>
    <w:rsid w:val="00D90AD6"/>
    <w:rsid w:val="00D9168F"/>
    <w:rsid w:val="00D92F19"/>
    <w:rsid w:val="00D9406B"/>
    <w:rsid w:val="00D959F7"/>
    <w:rsid w:val="00DA2B62"/>
    <w:rsid w:val="00DA4EEF"/>
    <w:rsid w:val="00DA58CB"/>
    <w:rsid w:val="00DB133B"/>
    <w:rsid w:val="00DB23D7"/>
    <w:rsid w:val="00DB5F95"/>
    <w:rsid w:val="00DB794E"/>
    <w:rsid w:val="00DD1F31"/>
    <w:rsid w:val="00DD5204"/>
    <w:rsid w:val="00DD5E9D"/>
    <w:rsid w:val="00DE07A5"/>
    <w:rsid w:val="00DE673D"/>
    <w:rsid w:val="00DF6D94"/>
    <w:rsid w:val="00DF76B2"/>
    <w:rsid w:val="00E01010"/>
    <w:rsid w:val="00E0114F"/>
    <w:rsid w:val="00E05E44"/>
    <w:rsid w:val="00E1491C"/>
    <w:rsid w:val="00E15438"/>
    <w:rsid w:val="00E1658C"/>
    <w:rsid w:val="00E200E4"/>
    <w:rsid w:val="00E214C5"/>
    <w:rsid w:val="00E27C9B"/>
    <w:rsid w:val="00E305A4"/>
    <w:rsid w:val="00E356A7"/>
    <w:rsid w:val="00E3661A"/>
    <w:rsid w:val="00E37192"/>
    <w:rsid w:val="00E37868"/>
    <w:rsid w:val="00E413BD"/>
    <w:rsid w:val="00E424DF"/>
    <w:rsid w:val="00E436BA"/>
    <w:rsid w:val="00E562E0"/>
    <w:rsid w:val="00E569E7"/>
    <w:rsid w:val="00E57F79"/>
    <w:rsid w:val="00E62F76"/>
    <w:rsid w:val="00E66F4D"/>
    <w:rsid w:val="00E672ED"/>
    <w:rsid w:val="00E74478"/>
    <w:rsid w:val="00E8190C"/>
    <w:rsid w:val="00E85024"/>
    <w:rsid w:val="00E87BCB"/>
    <w:rsid w:val="00E87F4A"/>
    <w:rsid w:val="00E87FC8"/>
    <w:rsid w:val="00EA12EE"/>
    <w:rsid w:val="00EA2F39"/>
    <w:rsid w:val="00EA5940"/>
    <w:rsid w:val="00EB0A96"/>
    <w:rsid w:val="00EB2881"/>
    <w:rsid w:val="00EB518E"/>
    <w:rsid w:val="00EB57EE"/>
    <w:rsid w:val="00EB769F"/>
    <w:rsid w:val="00EB779F"/>
    <w:rsid w:val="00EC180C"/>
    <w:rsid w:val="00EC6FC6"/>
    <w:rsid w:val="00EC7E05"/>
    <w:rsid w:val="00ED48A8"/>
    <w:rsid w:val="00EE25C9"/>
    <w:rsid w:val="00EE2986"/>
    <w:rsid w:val="00EE35D6"/>
    <w:rsid w:val="00EE3EDC"/>
    <w:rsid w:val="00EE64E9"/>
    <w:rsid w:val="00EF0B80"/>
    <w:rsid w:val="00EF40F1"/>
    <w:rsid w:val="00EF44DE"/>
    <w:rsid w:val="00EF4B68"/>
    <w:rsid w:val="00EF5E8F"/>
    <w:rsid w:val="00F003C5"/>
    <w:rsid w:val="00F02BA8"/>
    <w:rsid w:val="00F02E60"/>
    <w:rsid w:val="00F14D42"/>
    <w:rsid w:val="00F1593C"/>
    <w:rsid w:val="00F21555"/>
    <w:rsid w:val="00F22D89"/>
    <w:rsid w:val="00F25405"/>
    <w:rsid w:val="00F47B0A"/>
    <w:rsid w:val="00F51294"/>
    <w:rsid w:val="00F573FA"/>
    <w:rsid w:val="00F621BF"/>
    <w:rsid w:val="00F65F7C"/>
    <w:rsid w:val="00F65F92"/>
    <w:rsid w:val="00F74672"/>
    <w:rsid w:val="00F75319"/>
    <w:rsid w:val="00F75630"/>
    <w:rsid w:val="00F76645"/>
    <w:rsid w:val="00F81354"/>
    <w:rsid w:val="00F824E5"/>
    <w:rsid w:val="00F836D7"/>
    <w:rsid w:val="00F838E9"/>
    <w:rsid w:val="00F86904"/>
    <w:rsid w:val="00F91EEA"/>
    <w:rsid w:val="00F9281C"/>
    <w:rsid w:val="00F96F67"/>
    <w:rsid w:val="00FA5004"/>
    <w:rsid w:val="00FA6210"/>
    <w:rsid w:val="00FB29D4"/>
    <w:rsid w:val="00FB4D9C"/>
    <w:rsid w:val="00FB60EF"/>
    <w:rsid w:val="00FB64E3"/>
    <w:rsid w:val="00FC07CD"/>
    <w:rsid w:val="00FD10B3"/>
    <w:rsid w:val="00FD4461"/>
    <w:rsid w:val="00FE0F41"/>
    <w:rsid w:val="00FE22E1"/>
    <w:rsid w:val="00FF5575"/>
    <w:rsid w:val="21D838EA"/>
    <w:rsid w:val="3F0C2ABB"/>
    <w:rsid w:val="661A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unhideWhenUsed="0" w:qFormat="1"/>
    <w:lsdException w:name="footer" w:unhideWhenUsed="0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/>
    <w:lsdException w:name="Body Text Indent 2" w:semiHidden="0" w:unhideWhenUsed="0" w:qFormat="1"/>
    <w:lsdException w:name="Hyperlink" w:semiHidden="0" w:unhideWhenUsed="0" w:qFormat="1"/>
    <w:lsdException w:name="FollowedHyperlink" w:semiHidden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Balloon Text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5ABB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uiPriority w:val="99"/>
    <w:semiHidden/>
    <w:unhideWhenUsed/>
    <w:qFormat/>
    <w:rsid w:val="00165ABB"/>
    <w:pPr>
      <w:jc w:val="left"/>
    </w:pPr>
    <w:rPr>
      <w:lang/>
    </w:rPr>
  </w:style>
  <w:style w:type="paragraph" w:styleId="a5">
    <w:name w:val="Date"/>
    <w:basedOn w:val="a0"/>
    <w:next w:val="a0"/>
    <w:link w:val="Char0"/>
    <w:uiPriority w:val="99"/>
    <w:semiHidden/>
    <w:rsid w:val="00165ABB"/>
    <w:pPr>
      <w:ind w:leftChars="2500" w:left="100"/>
    </w:pPr>
    <w:rPr>
      <w:kern w:val="0"/>
      <w:sz w:val="20"/>
      <w:szCs w:val="20"/>
      <w:lang/>
    </w:rPr>
  </w:style>
  <w:style w:type="paragraph" w:styleId="2">
    <w:name w:val="Body Text Indent 2"/>
    <w:basedOn w:val="a0"/>
    <w:link w:val="2Char"/>
    <w:uiPriority w:val="99"/>
    <w:qFormat/>
    <w:rsid w:val="00165ABB"/>
    <w:pPr>
      <w:spacing w:line="288" w:lineRule="auto"/>
      <w:ind w:firstLine="435"/>
    </w:pPr>
    <w:rPr>
      <w:rFonts w:ascii="Times New Roman" w:hAnsi="Times New Roman"/>
      <w:kern w:val="0"/>
      <w:szCs w:val="21"/>
      <w:lang/>
    </w:rPr>
  </w:style>
  <w:style w:type="paragraph" w:styleId="a6">
    <w:name w:val="Balloon Text"/>
    <w:basedOn w:val="a0"/>
    <w:link w:val="Char1"/>
    <w:uiPriority w:val="99"/>
    <w:semiHidden/>
    <w:qFormat/>
    <w:rsid w:val="00165ABB"/>
    <w:rPr>
      <w:kern w:val="0"/>
      <w:sz w:val="18"/>
      <w:szCs w:val="18"/>
      <w:lang/>
    </w:rPr>
  </w:style>
  <w:style w:type="paragraph" w:styleId="a7">
    <w:name w:val="footer"/>
    <w:basedOn w:val="a0"/>
    <w:link w:val="Char2"/>
    <w:uiPriority w:val="99"/>
    <w:semiHidden/>
    <w:qFormat/>
    <w:rsid w:val="00165AB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8">
    <w:name w:val="header"/>
    <w:basedOn w:val="a0"/>
    <w:link w:val="Char3"/>
    <w:uiPriority w:val="99"/>
    <w:semiHidden/>
    <w:qFormat/>
    <w:rsid w:val="00165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paragraph" w:styleId="a9">
    <w:name w:val="Normal (Web)"/>
    <w:basedOn w:val="a0"/>
    <w:uiPriority w:val="99"/>
    <w:qFormat/>
    <w:rsid w:val="00165A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4"/>
    <w:next w:val="a4"/>
    <w:link w:val="Char4"/>
    <w:uiPriority w:val="99"/>
    <w:semiHidden/>
    <w:unhideWhenUsed/>
    <w:qFormat/>
    <w:rsid w:val="00165ABB"/>
    <w:rPr>
      <w:b/>
      <w:bCs/>
    </w:rPr>
  </w:style>
  <w:style w:type="character" w:styleId="ab">
    <w:name w:val="FollowedHyperlink"/>
    <w:uiPriority w:val="99"/>
    <w:qFormat/>
    <w:rsid w:val="00165ABB"/>
    <w:rPr>
      <w:rFonts w:cs="Times New Roman"/>
      <w:color w:val="800080"/>
      <w:u w:val="single"/>
    </w:rPr>
  </w:style>
  <w:style w:type="character" w:styleId="ac">
    <w:name w:val="Emphasis"/>
    <w:uiPriority w:val="99"/>
    <w:qFormat/>
    <w:locked/>
    <w:rsid w:val="00165ABB"/>
    <w:rPr>
      <w:rFonts w:cs="Times New Roman"/>
      <w:i/>
      <w:iCs/>
    </w:rPr>
  </w:style>
  <w:style w:type="character" w:styleId="ad">
    <w:name w:val="Hyperlink"/>
    <w:uiPriority w:val="99"/>
    <w:qFormat/>
    <w:rsid w:val="00165ABB"/>
    <w:rPr>
      <w:rFonts w:cs="Times New Roman"/>
      <w:color w:val="0000FF"/>
      <w:u w:val="single"/>
    </w:rPr>
  </w:style>
  <w:style w:type="character" w:styleId="ae">
    <w:name w:val="annotation reference"/>
    <w:uiPriority w:val="99"/>
    <w:semiHidden/>
    <w:unhideWhenUsed/>
    <w:qFormat/>
    <w:rsid w:val="00165ABB"/>
    <w:rPr>
      <w:sz w:val="21"/>
      <w:szCs w:val="21"/>
    </w:rPr>
  </w:style>
  <w:style w:type="paragraph" w:customStyle="1" w:styleId="1">
    <w:name w:val="列出段落1"/>
    <w:basedOn w:val="a0"/>
    <w:uiPriority w:val="99"/>
    <w:qFormat/>
    <w:rsid w:val="00165ABB"/>
    <w:pPr>
      <w:ind w:firstLineChars="200" w:firstLine="420"/>
    </w:pPr>
    <w:rPr>
      <w:rFonts w:ascii="Times New Roman" w:hAnsi="Times New Roman"/>
      <w:szCs w:val="21"/>
    </w:rPr>
  </w:style>
  <w:style w:type="character" w:customStyle="1" w:styleId="2Char">
    <w:name w:val="正文文本缩进 2 Char"/>
    <w:link w:val="2"/>
    <w:uiPriority w:val="99"/>
    <w:qFormat/>
    <w:locked/>
    <w:rsid w:val="00165ABB"/>
    <w:rPr>
      <w:rFonts w:ascii="Times New Roman" w:eastAsia="宋体" w:hAnsi="Times New Roman" w:cs="Times New Roman"/>
      <w:sz w:val="21"/>
      <w:szCs w:val="21"/>
    </w:rPr>
  </w:style>
  <w:style w:type="paragraph" w:styleId="af">
    <w:name w:val="List Paragraph"/>
    <w:basedOn w:val="a0"/>
    <w:uiPriority w:val="99"/>
    <w:qFormat/>
    <w:rsid w:val="00165ABB"/>
    <w:pPr>
      <w:ind w:firstLineChars="200" w:firstLine="420"/>
    </w:pPr>
  </w:style>
  <w:style w:type="character" w:customStyle="1" w:styleId="Char3">
    <w:name w:val="页眉 Char"/>
    <w:link w:val="a8"/>
    <w:uiPriority w:val="99"/>
    <w:semiHidden/>
    <w:qFormat/>
    <w:locked/>
    <w:rsid w:val="00165ABB"/>
    <w:rPr>
      <w:rFonts w:cs="Times New Roman"/>
      <w:sz w:val="18"/>
      <w:szCs w:val="18"/>
    </w:rPr>
  </w:style>
  <w:style w:type="character" w:customStyle="1" w:styleId="Char2">
    <w:name w:val="页脚 Char"/>
    <w:link w:val="a7"/>
    <w:uiPriority w:val="99"/>
    <w:semiHidden/>
    <w:qFormat/>
    <w:locked/>
    <w:rsid w:val="00165ABB"/>
    <w:rPr>
      <w:rFonts w:cs="Times New Roman"/>
      <w:sz w:val="18"/>
      <w:szCs w:val="18"/>
    </w:rPr>
  </w:style>
  <w:style w:type="character" w:customStyle="1" w:styleId="Char1">
    <w:name w:val="批注框文本 Char"/>
    <w:link w:val="a6"/>
    <w:uiPriority w:val="99"/>
    <w:semiHidden/>
    <w:qFormat/>
    <w:locked/>
    <w:rsid w:val="00165ABB"/>
    <w:rPr>
      <w:rFonts w:cs="Times New Roman"/>
      <w:sz w:val="18"/>
      <w:szCs w:val="18"/>
    </w:rPr>
  </w:style>
  <w:style w:type="character" w:customStyle="1" w:styleId="Char0">
    <w:name w:val="日期 Char"/>
    <w:link w:val="a5"/>
    <w:uiPriority w:val="99"/>
    <w:semiHidden/>
    <w:qFormat/>
    <w:locked/>
    <w:rsid w:val="00165ABB"/>
    <w:rPr>
      <w:rFonts w:cs="Times New Roman"/>
    </w:rPr>
  </w:style>
  <w:style w:type="paragraph" w:customStyle="1" w:styleId="af0">
    <w:name w:val="附录标识"/>
    <w:basedOn w:val="a0"/>
    <w:next w:val="a0"/>
    <w:uiPriority w:val="99"/>
    <w:qFormat/>
    <w:rsid w:val="00165ABB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1">
    <w:name w:val="一级条标题"/>
    <w:basedOn w:val="a0"/>
    <w:next w:val="a0"/>
    <w:uiPriority w:val="99"/>
    <w:qFormat/>
    <w:rsid w:val="00165ABB"/>
    <w:pPr>
      <w:widowControl/>
      <w:outlineLvl w:val="2"/>
    </w:pPr>
    <w:rPr>
      <w:rFonts w:ascii="黑体" w:eastAsia="黑体" w:hAnsi="Times New Roman"/>
      <w:kern w:val="0"/>
      <w:szCs w:val="20"/>
    </w:rPr>
  </w:style>
  <w:style w:type="paragraph" w:customStyle="1" w:styleId="af2">
    <w:name w:val="前言、引言标题"/>
    <w:next w:val="a0"/>
    <w:uiPriority w:val="99"/>
    <w:qFormat/>
    <w:rsid w:val="00165ABB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">
    <w:name w:val="章标题"/>
    <w:next w:val="a0"/>
    <w:uiPriority w:val="99"/>
    <w:qFormat/>
    <w:rsid w:val="00165ABB"/>
    <w:pPr>
      <w:numPr>
        <w:ilvl w:val="1"/>
        <w:numId w:val="1"/>
      </w:numPr>
      <w:spacing w:beforeLines="50" w:afterLines="50"/>
      <w:jc w:val="both"/>
      <w:outlineLvl w:val="1"/>
    </w:pPr>
    <w:rPr>
      <w:rFonts w:ascii="Times New Roman" w:eastAsia="黑体" w:hAnsi="Times New Roman"/>
      <w:b/>
      <w:sz w:val="21"/>
    </w:rPr>
  </w:style>
  <w:style w:type="character" w:customStyle="1" w:styleId="Char">
    <w:name w:val="批注文字 Char"/>
    <w:link w:val="a4"/>
    <w:uiPriority w:val="99"/>
    <w:semiHidden/>
    <w:qFormat/>
    <w:rsid w:val="00165ABB"/>
    <w:rPr>
      <w:kern w:val="2"/>
      <w:sz w:val="21"/>
      <w:szCs w:val="22"/>
    </w:rPr>
  </w:style>
  <w:style w:type="character" w:customStyle="1" w:styleId="Char4">
    <w:name w:val="批注主题 Char"/>
    <w:link w:val="aa"/>
    <w:uiPriority w:val="99"/>
    <w:semiHidden/>
    <w:qFormat/>
    <w:rsid w:val="00165ABB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11</Pages>
  <Words>1020</Words>
  <Characters>5820</Characters>
  <Application>Microsoft Office Word</Application>
  <DocSecurity>0</DocSecurity>
  <Lines>48</Lines>
  <Paragraphs>13</Paragraphs>
  <ScaleCrop>false</ScaleCrop>
  <Company>Microsoft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83</cp:revision>
  <cp:lastPrinted>2019-07-17T02:33:00Z</cp:lastPrinted>
  <dcterms:created xsi:type="dcterms:W3CDTF">2019-07-15T08:19:00Z</dcterms:created>
  <dcterms:modified xsi:type="dcterms:W3CDTF">2020-11-05T07:00:00Z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