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2B" w:rsidRPr="0000310C" w:rsidRDefault="0049062B" w:rsidP="003C0DF3">
      <w:pPr>
        <w:pStyle w:val="10"/>
        <w:spacing w:beforeLines="50" w:afterLines="50" w:line="400" w:lineRule="atLeast"/>
        <w:ind w:left="357" w:firstLineChars="0" w:firstLine="0"/>
        <w:jc w:val="distribute"/>
        <w:rPr>
          <w:rFonts w:ascii="黑体" w:eastAsia="黑体" w:hAnsi="黑体"/>
          <w:color w:val="000000"/>
          <w:sz w:val="48"/>
          <w:szCs w:val="48"/>
        </w:rPr>
      </w:pPr>
      <w:bookmarkStart w:id="0" w:name="SectionMark4"/>
      <w:r w:rsidRPr="0000310C">
        <w:rPr>
          <w:rFonts w:ascii="黑体" w:eastAsia="黑体" w:hAnsi="黑体" w:cs="黑体" w:hint="eastAsia"/>
          <w:color w:val="000000"/>
          <w:sz w:val="48"/>
          <w:szCs w:val="48"/>
        </w:rPr>
        <w:t>绿色食品生产操作规程</w:t>
      </w:r>
    </w:p>
    <w:p w:rsidR="00000000" w:rsidRDefault="007A0394" w:rsidP="003C0DF3">
      <w:pPr>
        <w:pStyle w:val="10"/>
        <w:spacing w:beforeLines="50" w:afterLines="50" w:line="400" w:lineRule="atLeast"/>
        <w:ind w:left="357" w:firstLineChars="0" w:firstLine="0"/>
        <w:jc w:val="righ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/>
          <w:color w:val="000000"/>
          <w:sz w:val="28"/>
          <w:szCs w:val="28"/>
        </w:rPr>
        <w:t xml:space="preserve">LB/T </w:t>
      </w:r>
      <w:r w:rsidR="00605993">
        <w:rPr>
          <w:rFonts w:ascii="黑体" w:eastAsia="黑体" w:hAnsi="黑体" w:cs="黑体" w:hint="eastAsia"/>
          <w:color w:val="000000"/>
          <w:sz w:val="28"/>
          <w:szCs w:val="28"/>
        </w:rPr>
        <w:t>005</w:t>
      </w:r>
      <w:r w:rsidR="0049062B" w:rsidRPr="0000310C">
        <w:rPr>
          <w:rFonts w:ascii="黑体" w:eastAsia="黑体" w:hAnsi="黑体" w:cs="黑体"/>
          <w:color w:val="000000"/>
          <w:sz w:val="28"/>
          <w:szCs w:val="28"/>
        </w:rPr>
        <w:t>-2018</w:t>
      </w:r>
    </w:p>
    <w:p w:rsidR="00000000" w:rsidRDefault="002D74DF" w:rsidP="003C0DF3">
      <w:pPr>
        <w:pStyle w:val="10"/>
        <w:spacing w:beforeLines="50" w:afterLines="50" w:line="400" w:lineRule="atLeast"/>
        <w:ind w:left="357" w:firstLineChars="0" w:firstLine="0"/>
        <w:jc w:val="right"/>
        <w:rPr>
          <w:rFonts w:ascii="黑体" w:eastAsia="黑体" w:hAnsi="黑体"/>
          <w:color w:val="000000"/>
          <w:sz w:val="28"/>
          <w:szCs w:val="28"/>
        </w:rPr>
      </w:pPr>
      <w:r w:rsidRPr="002D74DF">
        <w:rPr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" o:spid="_x0000_s1027" type="#_x0000_t32" style="position:absolute;left:0;text-align:left;margin-left:12.6pt;margin-top:6pt;width:407.4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"/>
        </w:pict>
      </w: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000000" w:rsidRDefault="0049062B" w:rsidP="003C0DF3">
      <w:pPr>
        <w:pStyle w:val="10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/>
          <w:color w:val="000000"/>
          <w:sz w:val="48"/>
          <w:szCs w:val="48"/>
        </w:rPr>
      </w:pPr>
      <w:r w:rsidRPr="0000310C">
        <w:rPr>
          <w:rFonts w:ascii="黑体" w:eastAsia="黑体" w:hAnsi="黑体" w:cs="黑体" w:hint="eastAsia"/>
          <w:color w:val="000000"/>
          <w:sz w:val="48"/>
          <w:szCs w:val="48"/>
        </w:rPr>
        <w:t>东北地区</w:t>
      </w:r>
    </w:p>
    <w:p w:rsidR="00000000" w:rsidRDefault="007144C9" w:rsidP="003C0DF3">
      <w:pPr>
        <w:pStyle w:val="10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/>
          <w:color w:val="000000"/>
          <w:sz w:val="18"/>
          <w:szCs w:val="18"/>
        </w:rPr>
      </w:pPr>
    </w:p>
    <w:p w:rsidR="00000000" w:rsidRDefault="0049062B" w:rsidP="003C0DF3">
      <w:pPr>
        <w:pStyle w:val="10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/>
          <w:color w:val="000000"/>
          <w:sz w:val="48"/>
          <w:szCs w:val="48"/>
        </w:rPr>
      </w:pPr>
      <w:r w:rsidRPr="0000310C">
        <w:rPr>
          <w:rFonts w:ascii="黑体" w:eastAsia="黑体" w:hAnsi="黑体" w:cs="黑体" w:hint="eastAsia"/>
          <w:color w:val="000000"/>
          <w:sz w:val="48"/>
          <w:szCs w:val="48"/>
        </w:rPr>
        <w:t>绿色食品春小麦生产操作规程</w:t>
      </w: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000000" w:rsidRDefault="00605993" w:rsidP="003C0DF3">
      <w:pPr>
        <w:pStyle w:val="10"/>
        <w:spacing w:beforeLines="50" w:afterLines="50" w:line="400" w:lineRule="atLeast"/>
        <w:ind w:left="357" w:firstLineChars="0" w:firstLine="0"/>
        <w:jc w:val="left"/>
        <w:rPr>
          <w:rFonts w:ascii="黑体" w:eastAsia="黑体" w:hAnsi="黑体" w:cs="黑体"/>
          <w:color w:val="000000"/>
          <w:sz w:val="28"/>
          <w:szCs w:val="28"/>
        </w:rPr>
      </w:pPr>
      <w:r w:rsidRPr="00605993">
        <w:rPr>
          <w:rFonts w:ascii="黑体" w:eastAsia="黑体" w:hAnsi="黑体" w:cs="黑体"/>
          <w:color w:val="000000"/>
          <w:sz w:val="28"/>
          <w:szCs w:val="28"/>
        </w:rPr>
        <w:t>2018-04-03</w:t>
      </w:r>
      <w:r w:rsidR="0049062B" w:rsidRPr="0000310C">
        <w:rPr>
          <w:rFonts w:ascii="黑体" w:eastAsia="黑体" w:hAnsi="黑体" w:cs="黑体" w:hint="eastAsia"/>
          <w:color w:val="000000"/>
          <w:sz w:val="28"/>
          <w:szCs w:val="28"/>
        </w:rPr>
        <w:t>发布</w:t>
      </w:r>
      <w:r w:rsidR="0049062B" w:rsidRPr="0000310C">
        <w:rPr>
          <w:rFonts w:ascii="黑体" w:eastAsia="黑体" w:hAnsi="黑体" w:cs="黑体"/>
          <w:color w:val="000000"/>
          <w:sz w:val="28"/>
          <w:szCs w:val="28"/>
        </w:rPr>
        <w:t xml:space="preserve">          </w:t>
      </w:r>
      <w:r w:rsidR="004E06BA">
        <w:rPr>
          <w:rFonts w:ascii="黑体" w:eastAsia="黑体" w:hAnsi="黑体" w:cs="黑体" w:hint="eastAsia"/>
          <w:color w:val="000000"/>
          <w:sz w:val="28"/>
          <w:szCs w:val="28"/>
        </w:rPr>
        <w:t xml:space="preserve">           </w:t>
      </w:r>
      <w:r w:rsidR="0049062B" w:rsidRPr="0000310C">
        <w:rPr>
          <w:rFonts w:ascii="黑体" w:eastAsia="黑体" w:hAnsi="黑体" w:cs="黑体"/>
          <w:color w:val="000000"/>
          <w:sz w:val="28"/>
          <w:szCs w:val="28"/>
        </w:rPr>
        <w:t xml:space="preserve">    </w:t>
      </w:r>
      <w:r w:rsidR="003C0DF3">
        <w:rPr>
          <w:rFonts w:ascii="黑体" w:eastAsia="黑体" w:hAnsi="黑体" w:cs="黑体"/>
          <w:color w:val="000000"/>
          <w:sz w:val="28"/>
          <w:szCs w:val="28"/>
        </w:rPr>
        <w:t>20</w:t>
      </w:r>
      <w:r w:rsidR="003C0DF3">
        <w:rPr>
          <w:rFonts w:ascii="黑体" w:eastAsia="黑体" w:hAnsi="黑体" w:cs="黑体" w:hint="eastAsia"/>
          <w:color w:val="000000"/>
          <w:sz w:val="28"/>
          <w:szCs w:val="28"/>
        </w:rPr>
        <w:t>20</w:t>
      </w:r>
      <w:r w:rsidR="003C0DF3">
        <w:rPr>
          <w:rFonts w:ascii="黑体" w:eastAsia="黑体" w:hAnsi="黑体" w:cs="黑体"/>
          <w:color w:val="000000"/>
          <w:sz w:val="28"/>
          <w:szCs w:val="28"/>
        </w:rPr>
        <w:t>-</w:t>
      </w:r>
      <w:r w:rsidR="003C0DF3">
        <w:rPr>
          <w:rFonts w:ascii="黑体" w:eastAsia="黑体" w:hAnsi="黑体" w:cs="黑体" w:hint="eastAsia"/>
          <w:color w:val="000000"/>
          <w:sz w:val="28"/>
          <w:szCs w:val="28"/>
        </w:rPr>
        <w:t>11</w:t>
      </w:r>
      <w:r w:rsidRPr="00605993">
        <w:rPr>
          <w:rFonts w:ascii="黑体" w:eastAsia="黑体" w:hAnsi="黑体" w:cs="黑体"/>
          <w:color w:val="000000"/>
          <w:sz w:val="28"/>
          <w:szCs w:val="28"/>
        </w:rPr>
        <w:t>-0</w:t>
      </w:r>
      <w:r w:rsidR="003C0DF3">
        <w:rPr>
          <w:rFonts w:ascii="黑体" w:eastAsia="黑体" w:hAnsi="黑体" w:cs="黑体" w:hint="eastAsia"/>
          <w:color w:val="000000"/>
          <w:sz w:val="28"/>
          <w:szCs w:val="28"/>
        </w:rPr>
        <w:t>1</w:t>
      </w:r>
      <w:r w:rsidR="0049062B" w:rsidRPr="0000310C">
        <w:rPr>
          <w:rFonts w:ascii="黑体" w:eastAsia="黑体" w:hAnsi="黑体" w:cs="黑体" w:hint="eastAsia"/>
          <w:color w:val="000000"/>
          <w:sz w:val="28"/>
          <w:szCs w:val="28"/>
        </w:rPr>
        <w:t>实施</w:t>
      </w:r>
    </w:p>
    <w:p w:rsidR="00000000" w:rsidRDefault="002D74DF" w:rsidP="003C0DF3">
      <w:pPr>
        <w:pStyle w:val="10"/>
        <w:spacing w:beforeLines="50" w:afterLines="50" w:line="400" w:lineRule="atLeast"/>
        <w:ind w:left="357" w:firstLineChars="0" w:firstLine="0"/>
        <w:jc w:val="left"/>
        <w:rPr>
          <w:rFonts w:ascii="黑体" w:eastAsia="黑体" w:hAnsi="黑体"/>
          <w:color w:val="000000"/>
          <w:sz w:val="24"/>
          <w:szCs w:val="24"/>
        </w:rPr>
      </w:pPr>
      <w:r w:rsidRPr="002D74DF">
        <w:rPr>
          <w:noProof/>
          <w:color w:val="000000"/>
        </w:rPr>
        <w:pict>
          <v:shape id="直接箭头连接符 1" o:spid="_x0000_s1026" type="#_x0000_t32" style="position:absolute;left:0;text-align:left;margin-left:16.2pt;margin-top:9pt;width:382.2pt;height:1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"/>
        </w:pict>
      </w:r>
    </w:p>
    <w:p w:rsidR="00000000" w:rsidRDefault="0049062B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28"/>
          <w:szCs w:val="28"/>
        </w:rPr>
      </w:pPr>
      <w:r w:rsidRPr="0000310C">
        <w:rPr>
          <w:rFonts w:ascii="华文中宋" w:eastAsia="华文中宋" w:hAnsi="华文中宋" w:cs="华文中宋" w:hint="eastAsia"/>
          <w:color w:val="000000"/>
          <w:spacing w:val="71"/>
          <w:kern w:val="0"/>
          <w:sz w:val="32"/>
          <w:szCs w:val="32"/>
        </w:rPr>
        <w:t>中国绿色食品发展中</w:t>
      </w:r>
      <w:r w:rsidRPr="0000310C">
        <w:rPr>
          <w:rFonts w:ascii="华文中宋" w:eastAsia="华文中宋" w:hAnsi="华文中宋" w:cs="华文中宋" w:hint="eastAsia"/>
          <w:color w:val="000000"/>
          <w:spacing w:val="1"/>
          <w:kern w:val="0"/>
          <w:sz w:val="32"/>
          <w:szCs w:val="32"/>
        </w:rPr>
        <w:t>心</w:t>
      </w:r>
      <w:r w:rsidRPr="0000310C">
        <w:rPr>
          <w:rFonts w:ascii="黑体" w:eastAsia="黑体" w:hAnsi="黑体" w:cs="黑体" w:hint="eastAsia"/>
          <w:color w:val="000000"/>
          <w:sz w:val="28"/>
          <w:szCs w:val="28"/>
        </w:rPr>
        <w:t>发</w:t>
      </w:r>
      <w:r w:rsidRPr="0000310C">
        <w:rPr>
          <w:rFonts w:ascii="黑体" w:eastAsia="黑体" w:hAnsi="黑体" w:cs="黑体"/>
          <w:color w:val="000000"/>
          <w:sz w:val="28"/>
          <w:szCs w:val="28"/>
        </w:rPr>
        <w:t xml:space="preserve"> </w:t>
      </w:r>
      <w:r w:rsidRPr="0000310C">
        <w:rPr>
          <w:rFonts w:ascii="黑体" w:eastAsia="黑体" w:hAnsi="黑体" w:cs="黑体" w:hint="eastAsia"/>
          <w:color w:val="000000"/>
          <w:sz w:val="28"/>
          <w:szCs w:val="28"/>
        </w:rPr>
        <w:t>布</w:t>
      </w:r>
    </w:p>
    <w:p w:rsidR="00000000" w:rsidRDefault="0049062B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  <w:r w:rsidRPr="0000310C">
        <w:rPr>
          <w:rFonts w:ascii="黑体" w:eastAsia="黑体" w:hAnsi="黑体" w:cs="黑体" w:hint="eastAsia"/>
          <w:color w:val="000000"/>
          <w:sz w:val="32"/>
          <w:szCs w:val="32"/>
        </w:rPr>
        <w:lastRenderedPageBreak/>
        <w:t>前言</w:t>
      </w: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49062B" w:rsidRPr="0000310C" w:rsidRDefault="0049062B" w:rsidP="0049062B">
      <w:pPr>
        <w:pStyle w:val="10"/>
        <w:spacing w:line="360" w:lineRule="auto"/>
        <w:jc w:val="left"/>
        <w:rPr>
          <w:rFonts w:ascii="宋体" w:hAnsi="宋体"/>
          <w:color w:val="000000"/>
        </w:rPr>
      </w:pPr>
      <w:r w:rsidRPr="0000310C">
        <w:rPr>
          <w:rFonts w:ascii="宋体" w:hAnsi="宋体" w:cs="宋体" w:hint="eastAsia"/>
          <w:color w:val="000000"/>
        </w:rPr>
        <w:t>本规程由中国绿色食品发展中心提出并归口。</w:t>
      </w:r>
    </w:p>
    <w:p w:rsidR="0049062B" w:rsidRPr="0000310C" w:rsidRDefault="0049062B" w:rsidP="0049062B">
      <w:pPr>
        <w:spacing w:line="360" w:lineRule="auto"/>
        <w:ind w:firstLineChars="200" w:firstLine="420"/>
        <w:rPr>
          <w:rFonts w:ascii="宋体" w:hAnsi="宋体"/>
          <w:color w:val="000000"/>
        </w:rPr>
      </w:pPr>
      <w:r w:rsidRPr="0000310C">
        <w:rPr>
          <w:rFonts w:ascii="宋体" w:hAnsi="宋体" w:cs="宋体" w:hint="eastAsia"/>
          <w:color w:val="000000"/>
        </w:rPr>
        <w:t>本规程起草单位：黑龙江省绿色食品发展中心、</w:t>
      </w:r>
      <w:r w:rsidRPr="0000310C">
        <w:rPr>
          <w:rFonts w:ascii="宋体" w:hAnsi="宋体" w:hint="eastAsia"/>
          <w:color w:val="000000"/>
        </w:rPr>
        <w:t>东北农业大学、辽宁省绿色食品发展中心、吉林省绿色食品办公室、内蒙古自治区绿色食品发展中心</w:t>
      </w:r>
      <w:r w:rsidR="00A464B4">
        <w:rPr>
          <w:rFonts w:ascii="宋体" w:hAnsi="宋体" w:hint="eastAsia"/>
          <w:color w:val="000000"/>
        </w:rPr>
        <w:t>、中国绿色食品发展中心</w:t>
      </w:r>
      <w:r w:rsidRPr="0000310C">
        <w:rPr>
          <w:rFonts w:ascii="宋体" w:hAnsi="宋体" w:cs="宋体" w:hint="eastAsia"/>
          <w:color w:val="000000"/>
        </w:rPr>
        <w:t>。</w:t>
      </w:r>
    </w:p>
    <w:p w:rsidR="0049062B" w:rsidRPr="0000310C" w:rsidRDefault="0049062B" w:rsidP="0049062B">
      <w:pPr>
        <w:pStyle w:val="10"/>
        <w:spacing w:line="360" w:lineRule="auto"/>
        <w:jc w:val="left"/>
        <w:rPr>
          <w:rFonts w:ascii="宋体" w:hAnsi="宋体" w:cs="宋体"/>
          <w:color w:val="000000"/>
        </w:rPr>
      </w:pPr>
      <w:r w:rsidRPr="0000310C">
        <w:rPr>
          <w:rFonts w:ascii="宋体" w:hAnsi="宋体" w:cs="宋体" w:hint="eastAsia"/>
          <w:color w:val="000000"/>
        </w:rPr>
        <w:t>本规程主要起草人：刘培源、李钢、</w:t>
      </w:r>
      <w:r w:rsidR="00A464B4">
        <w:rPr>
          <w:rFonts w:ascii="宋体" w:hAnsi="宋体" w:cs="宋体" w:hint="eastAsia"/>
          <w:color w:val="000000"/>
        </w:rPr>
        <w:t>张宪、</w:t>
      </w:r>
      <w:r w:rsidRPr="0000310C">
        <w:rPr>
          <w:rFonts w:ascii="宋体" w:hAnsi="宋体" w:cs="宋体" w:hint="eastAsia"/>
          <w:color w:val="000000"/>
        </w:rPr>
        <w:t>付连双、王焕群、王然、韩玉龙、张雪晗、叶博、李岩、郝贵宾、刘明贤、崔爱文、王桂梅。</w:t>
      </w:r>
    </w:p>
    <w:p w:rsidR="0049062B" w:rsidRPr="0000310C" w:rsidRDefault="0049062B" w:rsidP="003C0DF3">
      <w:pPr>
        <w:pStyle w:val="10"/>
        <w:spacing w:beforeLines="50" w:afterLines="50" w:line="360" w:lineRule="auto"/>
        <w:jc w:val="left"/>
        <w:rPr>
          <w:rFonts w:ascii="宋体" w:hAnsi="宋体"/>
          <w:color w:val="000000"/>
        </w:rPr>
      </w:pPr>
    </w:p>
    <w:p w:rsidR="00000000" w:rsidRDefault="007144C9" w:rsidP="003C0DF3">
      <w:pPr>
        <w:pStyle w:val="10"/>
        <w:spacing w:beforeLines="50" w:afterLines="50" w:line="400" w:lineRule="atLeast"/>
        <w:ind w:firstLine="560"/>
        <w:jc w:val="left"/>
        <w:rPr>
          <w:rFonts w:ascii="宋体"/>
          <w:color w:val="000000"/>
          <w:sz w:val="28"/>
          <w:szCs w:val="28"/>
        </w:rPr>
      </w:pPr>
    </w:p>
    <w:p w:rsidR="00000000" w:rsidRDefault="007144C9" w:rsidP="003C0DF3">
      <w:pPr>
        <w:pStyle w:val="10"/>
        <w:spacing w:beforeLines="50" w:afterLines="50" w:line="400" w:lineRule="atLeast"/>
        <w:ind w:firstLine="361"/>
        <w:jc w:val="left"/>
        <w:rPr>
          <w:rFonts w:ascii="宋体"/>
          <w:b/>
          <w:bCs/>
          <w:color w:val="000000"/>
          <w:sz w:val="18"/>
          <w:szCs w:val="18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color w:val="000000"/>
          <w:sz w:val="36"/>
          <w:szCs w:val="36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color w:val="000000"/>
          <w:sz w:val="36"/>
          <w:szCs w:val="36"/>
        </w:rPr>
      </w:pPr>
    </w:p>
    <w:p w:rsidR="00000000" w:rsidRDefault="007144C9" w:rsidP="003C0DF3">
      <w:pPr>
        <w:pStyle w:val="10"/>
        <w:spacing w:beforeLines="50" w:afterLines="50" w:line="400" w:lineRule="atLeast"/>
        <w:ind w:left="357" w:firstLineChars="0" w:firstLine="0"/>
        <w:jc w:val="center"/>
        <w:rPr>
          <w:rFonts w:ascii="宋体"/>
          <w:b/>
          <w:bCs/>
          <w:color w:val="000000"/>
          <w:sz w:val="36"/>
          <w:szCs w:val="36"/>
        </w:rPr>
      </w:pPr>
    </w:p>
    <w:p w:rsidR="00000000" w:rsidRDefault="007144C9" w:rsidP="003C0DF3">
      <w:pPr>
        <w:pStyle w:val="10"/>
        <w:spacing w:beforeLines="50" w:afterLines="50" w:line="400" w:lineRule="atLeast"/>
        <w:ind w:firstLineChars="0" w:firstLine="0"/>
        <w:rPr>
          <w:rFonts w:ascii="宋体"/>
          <w:b/>
          <w:bCs/>
          <w:color w:val="000000"/>
          <w:sz w:val="36"/>
          <w:szCs w:val="36"/>
        </w:rPr>
      </w:pPr>
    </w:p>
    <w:p w:rsidR="00000000" w:rsidRDefault="007144C9" w:rsidP="003C0DF3">
      <w:pPr>
        <w:pStyle w:val="10"/>
        <w:spacing w:beforeLines="50" w:afterLines="50" w:line="400" w:lineRule="atLeast"/>
        <w:ind w:firstLineChars="0" w:firstLine="0"/>
        <w:rPr>
          <w:rFonts w:ascii="宋体"/>
          <w:b/>
          <w:bCs/>
          <w:color w:val="000000"/>
          <w:sz w:val="36"/>
          <w:szCs w:val="36"/>
        </w:rPr>
      </w:pPr>
    </w:p>
    <w:p w:rsidR="00000000" w:rsidRDefault="007144C9" w:rsidP="003C0DF3">
      <w:pPr>
        <w:pStyle w:val="10"/>
        <w:spacing w:beforeLines="50" w:afterLines="50" w:line="400" w:lineRule="atLeast"/>
        <w:ind w:firstLineChars="0" w:firstLine="0"/>
        <w:rPr>
          <w:rFonts w:ascii="宋体"/>
          <w:b/>
          <w:bCs/>
          <w:color w:val="000000"/>
          <w:sz w:val="36"/>
          <w:szCs w:val="36"/>
        </w:rPr>
      </w:pPr>
    </w:p>
    <w:p w:rsidR="00000000" w:rsidRDefault="007144C9" w:rsidP="003C0DF3">
      <w:pPr>
        <w:pStyle w:val="10"/>
        <w:spacing w:beforeLines="50" w:afterLines="50" w:line="400" w:lineRule="atLeast"/>
        <w:ind w:firstLineChars="0" w:firstLine="0"/>
        <w:rPr>
          <w:rFonts w:ascii="宋体"/>
          <w:b/>
          <w:bCs/>
          <w:color w:val="000000"/>
          <w:sz w:val="36"/>
          <w:szCs w:val="36"/>
        </w:rPr>
      </w:pPr>
    </w:p>
    <w:p w:rsidR="00000000" w:rsidRDefault="007144C9" w:rsidP="003C0DF3">
      <w:pPr>
        <w:pStyle w:val="10"/>
        <w:spacing w:beforeLines="50" w:afterLines="50" w:line="400" w:lineRule="atLeast"/>
        <w:ind w:firstLineChars="0" w:firstLine="0"/>
        <w:rPr>
          <w:rFonts w:ascii="宋体"/>
          <w:b/>
          <w:bCs/>
          <w:color w:val="000000"/>
          <w:sz w:val="36"/>
          <w:szCs w:val="36"/>
        </w:rPr>
      </w:pPr>
    </w:p>
    <w:p w:rsidR="00000000" w:rsidRDefault="007144C9" w:rsidP="003C0DF3">
      <w:pPr>
        <w:pStyle w:val="10"/>
        <w:spacing w:beforeLines="50" w:afterLines="50" w:line="400" w:lineRule="atLeast"/>
        <w:ind w:firstLineChars="0" w:firstLine="0"/>
        <w:rPr>
          <w:rFonts w:ascii="宋体"/>
          <w:b/>
          <w:bCs/>
          <w:color w:val="000000"/>
          <w:sz w:val="36"/>
          <w:szCs w:val="36"/>
        </w:rPr>
      </w:pPr>
    </w:p>
    <w:p w:rsidR="00000000" w:rsidRDefault="007144C9" w:rsidP="003C0DF3">
      <w:pPr>
        <w:pStyle w:val="10"/>
        <w:spacing w:beforeLines="50" w:afterLines="50" w:line="400" w:lineRule="atLeast"/>
        <w:ind w:firstLineChars="0" w:firstLine="0"/>
        <w:rPr>
          <w:rFonts w:ascii="宋体"/>
          <w:b/>
          <w:bCs/>
          <w:color w:val="000000"/>
          <w:sz w:val="36"/>
          <w:szCs w:val="36"/>
        </w:rPr>
      </w:pPr>
    </w:p>
    <w:p w:rsidR="00F0403F" w:rsidRDefault="00D31C03">
      <w:pPr>
        <w:pStyle w:val="af0"/>
        <w:spacing w:before="0" w:after="0" w:line="360" w:lineRule="auto"/>
        <w:rPr>
          <w:rFonts w:ascii="Times New Roman"/>
          <w:szCs w:val="32"/>
        </w:rPr>
      </w:pPr>
      <w:r>
        <w:rPr>
          <w:rFonts w:ascii="Times New Roman" w:hint="eastAsia"/>
          <w:szCs w:val="32"/>
        </w:rPr>
        <w:lastRenderedPageBreak/>
        <w:t>东北地区</w:t>
      </w:r>
      <w:r>
        <w:rPr>
          <w:rFonts w:ascii="Times New Roman" w:hint="eastAsia"/>
          <w:szCs w:val="32"/>
        </w:rPr>
        <w:t xml:space="preserve">  </w:t>
      </w:r>
    </w:p>
    <w:p w:rsidR="00B3658F" w:rsidRDefault="00D31C03">
      <w:pPr>
        <w:pStyle w:val="af0"/>
        <w:spacing w:before="0" w:after="0" w:line="360" w:lineRule="auto"/>
        <w:rPr>
          <w:rFonts w:ascii="Times New Roman"/>
          <w:szCs w:val="32"/>
        </w:rPr>
      </w:pPr>
      <w:r>
        <w:rPr>
          <w:rFonts w:ascii="Times New Roman" w:hint="eastAsia"/>
          <w:szCs w:val="32"/>
        </w:rPr>
        <w:t>绿色食品春小麦生产操作规程</w:t>
      </w:r>
    </w:p>
    <w:p w:rsidR="00B3658F" w:rsidRDefault="00D31C03">
      <w:pPr>
        <w:pStyle w:val="a1"/>
        <w:spacing w:before="156" w:after="156" w:line="360" w:lineRule="auto"/>
        <w:rPr>
          <w:rFonts w:ascii="Times New Roman"/>
          <w:szCs w:val="21"/>
        </w:rPr>
      </w:pPr>
      <w:bookmarkStart w:id="1" w:name="_Toc520190635"/>
      <w:r>
        <w:rPr>
          <w:rFonts w:ascii="Times New Roman" w:hint="eastAsia"/>
          <w:szCs w:val="21"/>
        </w:rPr>
        <w:t>范围</w:t>
      </w:r>
      <w:bookmarkEnd w:id="1"/>
    </w:p>
    <w:p w:rsidR="00B3658F" w:rsidRDefault="00D31C03">
      <w:pPr>
        <w:pStyle w:val="10"/>
        <w:spacing w:line="360" w:lineRule="auto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本规程规定了东北地区绿色食品春小麦的产地环境、品种选择、整地、播种、田间管理、采收、生产废弃物的处理、贮藏及生产记录档案。</w:t>
      </w:r>
    </w:p>
    <w:p w:rsidR="00B3658F" w:rsidRDefault="00D31C03">
      <w:pPr>
        <w:pStyle w:val="10"/>
        <w:spacing w:line="360" w:lineRule="auto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本规程适用于内蒙古、辽宁、吉林和黑龙江的绿色食品春小麦生产。</w:t>
      </w:r>
    </w:p>
    <w:p w:rsidR="00B3658F" w:rsidRDefault="00D31C03">
      <w:pPr>
        <w:pStyle w:val="a1"/>
        <w:spacing w:before="156" w:after="156"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规范性引用文件</w:t>
      </w:r>
    </w:p>
    <w:p w:rsidR="00B3658F" w:rsidRDefault="00D31C03"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B3658F" w:rsidRDefault="00D31C03">
      <w:pPr>
        <w:spacing w:line="360" w:lineRule="auto"/>
        <w:ind w:firstLine="435"/>
        <w:rPr>
          <w:szCs w:val="21"/>
        </w:rPr>
      </w:pPr>
      <w:r>
        <w:rPr>
          <w:szCs w:val="21"/>
        </w:rPr>
        <w:t>GB 4404.</w:t>
      </w:r>
      <w:r>
        <w:rPr>
          <w:rFonts w:hint="eastAsia"/>
          <w:szCs w:val="21"/>
        </w:rPr>
        <w:t xml:space="preserve">1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粮食作物种子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第</w:t>
      </w:r>
      <w:r>
        <w:rPr>
          <w:szCs w:val="21"/>
        </w:rPr>
        <w:t>1</w:t>
      </w:r>
      <w:r>
        <w:rPr>
          <w:rFonts w:hint="eastAsia"/>
          <w:szCs w:val="21"/>
        </w:rPr>
        <w:t>部分：禾谷类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NY/T 391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产地环境质量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NY/T 393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农药使用准则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NY/T 394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肥料使用准则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NY/T 1056  </w:t>
      </w:r>
      <w:r>
        <w:rPr>
          <w:rFonts w:hint="eastAsia"/>
          <w:szCs w:val="21"/>
        </w:rPr>
        <w:t>绿色食品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贮藏运输准则</w:t>
      </w:r>
    </w:p>
    <w:bookmarkEnd w:id="0"/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  产地环境条件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3.1  环境条件</w:t>
      </w:r>
    </w:p>
    <w:p w:rsidR="00B3658F" w:rsidRDefault="00D31C03">
      <w:pPr>
        <w:spacing w:line="360" w:lineRule="auto"/>
        <w:ind w:firstLineChars="250" w:firstLine="525"/>
        <w:rPr>
          <w:szCs w:val="21"/>
        </w:rPr>
      </w:pPr>
      <w:r>
        <w:rPr>
          <w:rFonts w:hint="eastAsia"/>
          <w:szCs w:val="21"/>
        </w:rPr>
        <w:t>应符合</w:t>
      </w:r>
      <w:r>
        <w:rPr>
          <w:szCs w:val="21"/>
        </w:rPr>
        <w:t>NY/T 391</w:t>
      </w:r>
      <w:r>
        <w:rPr>
          <w:rFonts w:hint="eastAsia"/>
          <w:szCs w:val="21"/>
        </w:rPr>
        <w:t>的要求。生态环境良好、无污染，远离工矿区和公路、铁路干线，避开污染源。和常规生产区域之间应设置有效的缓冲带或物理屏障。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3.2  气候条件</w:t>
      </w:r>
      <w:bookmarkStart w:id="2" w:name="_GoBack"/>
      <w:bookmarkEnd w:id="2"/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因品种早、中、晚熟期不同，要求</w:t>
      </w:r>
      <w:r>
        <w:rPr>
          <w:rFonts w:ascii="宋体" w:hAnsi="宋体" w:hint="eastAsia"/>
          <w:szCs w:val="21"/>
        </w:rPr>
        <w:t>≥</w:t>
      </w:r>
      <w:r>
        <w:rPr>
          <w:szCs w:val="21"/>
        </w:rPr>
        <w:t>0</w:t>
      </w:r>
      <w:r w:rsidR="00AE2510">
        <w:rPr>
          <w:szCs w:val="21"/>
        </w:rPr>
        <w:t xml:space="preserve"> </w:t>
      </w:r>
      <w:r>
        <w:rPr>
          <w:rFonts w:ascii="宋体" w:hAnsi="宋体" w:hint="eastAsia"/>
          <w:szCs w:val="21"/>
        </w:rPr>
        <w:t>℃</w:t>
      </w:r>
      <w:r>
        <w:rPr>
          <w:rFonts w:hint="eastAsia"/>
          <w:szCs w:val="21"/>
        </w:rPr>
        <w:t>年活动积温在</w:t>
      </w:r>
      <w:r>
        <w:rPr>
          <w:szCs w:val="21"/>
        </w:rPr>
        <w:t>1600</w:t>
      </w:r>
      <w:r w:rsidR="00AE2510">
        <w:rPr>
          <w:szCs w:val="21"/>
        </w:rPr>
        <w:t xml:space="preserve"> </w:t>
      </w:r>
      <w:r>
        <w:rPr>
          <w:rFonts w:ascii="宋体" w:hAnsi="宋体" w:hint="eastAsia"/>
          <w:szCs w:val="21"/>
        </w:rPr>
        <w:t>℃以上，</w:t>
      </w:r>
      <w:r>
        <w:rPr>
          <w:rFonts w:hint="eastAsia"/>
          <w:szCs w:val="21"/>
        </w:rPr>
        <w:t>年降雨量</w:t>
      </w:r>
      <w:r>
        <w:rPr>
          <w:szCs w:val="21"/>
        </w:rPr>
        <w:t>450 mm</w:t>
      </w:r>
      <w:r>
        <w:rPr>
          <w:rFonts w:hint="eastAsia"/>
          <w:szCs w:val="21"/>
        </w:rPr>
        <w:t>以上。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3.3  土壤条件  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土层较深厚、有机质丰富、结构良好、养分充足、保肥水强、通气性良好，</w:t>
      </w:r>
      <w:r>
        <w:rPr>
          <w:szCs w:val="21"/>
        </w:rPr>
        <w:t>pH</w:t>
      </w:r>
      <w:r>
        <w:rPr>
          <w:rFonts w:hint="eastAsia"/>
          <w:szCs w:val="21"/>
        </w:rPr>
        <w:t>为</w:t>
      </w:r>
      <w:r>
        <w:rPr>
          <w:szCs w:val="21"/>
        </w:rPr>
        <w:t>6.5</w:t>
      </w:r>
      <w:r>
        <w:rPr>
          <w:rFonts w:hint="eastAsia"/>
          <w:szCs w:val="21"/>
        </w:rPr>
        <w:t>～</w:t>
      </w:r>
      <w:r>
        <w:rPr>
          <w:szCs w:val="21"/>
        </w:rPr>
        <w:t>7.5</w:t>
      </w:r>
      <w:r>
        <w:rPr>
          <w:rFonts w:hint="eastAsia"/>
          <w:szCs w:val="21"/>
        </w:rPr>
        <w:t>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  品种选择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4.1  选择原则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选择适应当地生态条件且经审定推广的优质、抗逆性强的适合本区域种植的高产品种，比如黑龙江北部和内蒙古地区可选用龙麦</w:t>
      </w:r>
      <w:r>
        <w:rPr>
          <w:szCs w:val="21"/>
        </w:rPr>
        <w:t>35</w:t>
      </w:r>
      <w:r>
        <w:rPr>
          <w:rFonts w:hint="eastAsia"/>
          <w:szCs w:val="21"/>
        </w:rPr>
        <w:t>号、巴丰</w:t>
      </w:r>
      <w:r>
        <w:rPr>
          <w:szCs w:val="21"/>
        </w:rPr>
        <w:t>5</w:t>
      </w:r>
      <w:r>
        <w:rPr>
          <w:rFonts w:hint="eastAsia"/>
          <w:szCs w:val="21"/>
        </w:rPr>
        <w:t>号、克春</w:t>
      </w:r>
      <w:r>
        <w:rPr>
          <w:szCs w:val="21"/>
        </w:rPr>
        <w:t>4</w:t>
      </w:r>
      <w:r>
        <w:rPr>
          <w:rFonts w:hint="eastAsia"/>
          <w:szCs w:val="21"/>
        </w:rPr>
        <w:t>号、垦九</w:t>
      </w:r>
      <w:r>
        <w:rPr>
          <w:szCs w:val="21"/>
        </w:rPr>
        <w:t>10</w:t>
      </w:r>
      <w:r>
        <w:rPr>
          <w:rFonts w:hint="eastAsia"/>
          <w:szCs w:val="21"/>
        </w:rPr>
        <w:t>号、辽春</w:t>
      </w:r>
      <w:r>
        <w:rPr>
          <w:szCs w:val="21"/>
        </w:rPr>
        <w:t>18</w:t>
      </w:r>
      <w:r>
        <w:rPr>
          <w:rFonts w:hint="eastAsia"/>
          <w:szCs w:val="21"/>
        </w:rPr>
        <w:t>号等。种子每</w:t>
      </w:r>
      <w:r>
        <w:rPr>
          <w:szCs w:val="21"/>
        </w:rPr>
        <w:lastRenderedPageBreak/>
        <w:t>2</w:t>
      </w:r>
      <w:r>
        <w:rPr>
          <w:rFonts w:hint="eastAsia"/>
          <w:szCs w:val="21"/>
        </w:rPr>
        <w:t>～</w:t>
      </w:r>
      <w:r>
        <w:rPr>
          <w:szCs w:val="21"/>
        </w:rPr>
        <w:t>3</w:t>
      </w:r>
      <w:r>
        <w:rPr>
          <w:rFonts w:hint="eastAsia"/>
          <w:szCs w:val="21"/>
        </w:rPr>
        <w:t>年更新一次。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4.2  种子</w:t>
      </w:r>
      <w:r w:rsidR="00107228">
        <w:rPr>
          <w:rFonts w:ascii="黑体" w:eastAsia="黑体" w:hAnsi="黑体" w:cs="黑体" w:hint="eastAsia"/>
          <w:szCs w:val="21"/>
        </w:rPr>
        <w:t>质量</w:t>
      </w:r>
      <w:r>
        <w:rPr>
          <w:rFonts w:ascii="黑体" w:eastAsia="黑体" w:hAnsi="黑体" w:cs="黑体" w:hint="eastAsia"/>
          <w:szCs w:val="21"/>
        </w:rPr>
        <w:t xml:space="preserve"> </w:t>
      </w:r>
    </w:p>
    <w:p w:rsidR="00B3658F" w:rsidRDefault="00E01612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种子质量应</w:t>
      </w:r>
      <w:r w:rsidR="00107228">
        <w:rPr>
          <w:rFonts w:hint="eastAsia"/>
          <w:szCs w:val="21"/>
        </w:rPr>
        <w:t>符合</w:t>
      </w:r>
      <w:r>
        <w:rPr>
          <w:szCs w:val="21"/>
        </w:rPr>
        <w:t>GB 4404.1</w:t>
      </w:r>
      <w:r>
        <w:rPr>
          <w:rFonts w:hint="eastAsia"/>
          <w:szCs w:val="21"/>
        </w:rPr>
        <w:t>的要求。种子纯度</w:t>
      </w:r>
      <w:r>
        <w:rPr>
          <w:rFonts w:ascii="宋体" w:hAnsi="宋体" w:hint="eastAsia"/>
          <w:szCs w:val="21"/>
        </w:rPr>
        <w:t>≥</w:t>
      </w:r>
      <w:r>
        <w:rPr>
          <w:rFonts w:ascii="宋体" w:hAnsi="宋体"/>
          <w:szCs w:val="21"/>
        </w:rPr>
        <w:t>99%</w:t>
      </w:r>
      <w:r>
        <w:rPr>
          <w:rFonts w:ascii="宋体" w:hAnsi="宋体" w:hint="eastAsia"/>
          <w:szCs w:val="21"/>
        </w:rPr>
        <w:t>，净度≥</w:t>
      </w:r>
      <w:r>
        <w:rPr>
          <w:rFonts w:ascii="宋体" w:hAnsi="宋体"/>
          <w:szCs w:val="21"/>
        </w:rPr>
        <w:t>99%</w:t>
      </w:r>
      <w:r>
        <w:rPr>
          <w:rFonts w:ascii="宋体" w:hAnsi="宋体" w:hint="eastAsia"/>
          <w:szCs w:val="21"/>
        </w:rPr>
        <w:t>，发芽率≥</w:t>
      </w:r>
      <w:r>
        <w:rPr>
          <w:rFonts w:ascii="宋体" w:hAnsi="宋体"/>
          <w:szCs w:val="21"/>
        </w:rPr>
        <w:t>85%</w:t>
      </w:r>
      <w:r>
        <w:rPr>
          <w:rFonts w:ascii="宋体" w:hAnsi="宋体" w:hint="eastAsia"/>
          <w:szCs w:val="21"/>
        </w:rPr>
        <w:t>，种子含水量≤</w:t>
      </w:r>
      <w:r>
        <w:rPr>
          <w:rFonts w:ascii="宋体" w:hAnsi="宋体"/>
          <w:szCs w:val="21"/>
        </w:rPr>
        <w:t>13.</w:t>
      </w:r>
      <w:r>
        <w:rPr>
          <w:rFonts w:ascii="宋体"/>
          <w:szCs w:val="21"/>
        </w:rPr>
        <w:t>0</w:t>
      </w:r>
      <w:r>
        <w:rPr>
          <w:rFonts w:ascii="宋体" w:hAnsi="宋体"/>
          <w:szCs w:val="21"/>
        </w:rPr>
        <w:t>%</w:t>
      </w:r>
      <w:r>
        <w:rPr>
          <w:rFonts w:ascii="宋体" w:hAnsi="宋体" w:hint="eastAsia"/>
          <w:szCs w:val="21"/>
        </w:rPr>
        <w:t>。</w:t>
      </w:r>
      <w:r w:rsidR="00D31C03">
        <w:rPr>
          <w:rFonts w:hint="eastAsia"/>
          <w:szCs w:val="21"/>
        </w:rPr>
        <w:t>种子经机械分级精选，利用</w:t>
      </w:r>
      <w:r w:rsidR="00D31C03">
        <w:rPr>
          <w:szCs w:val="21"/>
        </w:rPr>
        <w:t>1</w:t>
      </w:r>
      <w:r w:rsidR="00D31C03">
        <w:rPr>
          <w:rFonts w:hint="eastAsia"/>
          <w:szCs w:val="21"/>
        </w:rPr>
        <w:t>、</w:t>
      </w:r>
      <w:r w:rsidR="00D31C03">
        <w:rPr>
          <w:szCs w:val="21"/>
        </w:rPr>
        <w:t>2</w:t>
      </w:r>
      <w:r w:rsidR="00D31C03">
        <w:rPr>
          <w:rFonts w:hint="eastAsia"/>
          <w:szCs w:val="21"/>
        </w:rPr>
        <w:t>级种子，栽培面积较小的农户，也可以进行人工筛选，剔出秕粒、杂质等。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4.4  种子处理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应使用符合</w:t>
      </w:r>
      <w:r>
        <w:rPr>
          <w:szCs w:val="21"/>
        </w:rPr>
        <w:t>NY/T 393</w:t>
      </w:r>
      <w:r>
        <w:rPr>
          <w:rFonts w:hint="eastAsia"/>
          <w:szCs w:val="21"/>
        </w:rPr>
        <w:t>要求的农药拌种，如用种子量</w:t>
      </w:r>
      <w:r>
        <w:rPr>
          <w:szCs w:val="21"/>
        </w:rPr>
        <w:t xml:space="preserve">0.2% </w:t>
      </w:r>
      <w:r>
        <w:rPr>
          <w:rFonts w:hint="eastAsia"/>
          <w:szCs w:val="21"/>
        </w:rPr>
        <w:t>的</w:t>
      </w:r>
      <w:r>
        <w:rPr>
          <w:szCs w:val="21"/>
        </w:rPr>
        <w:t>50%</w:t>
      </w:r>
      <w:r>
        <w:rPr>
          <w:rFonts w:hint="eastAsia"/>
          <w:szCs w:val="21"/>
        </w:rPr>
        <w:t>多菌灵粉剂拌种；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拌种要均匀，并闷种</w:t>
      </w:r>
      <w:r>
        <w:rPr>
          <w:szCs w:val="21"/>
        </w:rPr>
        <w:t>20</w:t>
      </w:r>
      <w:r>
        <w:rPr>
          <w:rFonts w:hint="eastAsia"/>
          <w:szCs w:val="21"/>
        </w:rPr>
        <w:t>～</w:t>
      </w:r>
      <w:r>
        <w:rPr>
          <w:szCs w:val="21"/>
        </w:rPr>
        <w:t>24 h</w:t>
      </w:r>
      <w:r>
        <w:rPr>
          <w:rFonts w:hint="eastAsia"/>
          <w:szCs w:val="21"/>
        </w:rPr>
        <w:t>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  整地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5.1  选茬</w:t>
      </w:r>
    </w:p>
    <w:p w:rsidR="00B3658F" w:rsidRDefault="00D31C03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在合理轮作基础上，应选择地势平坦、相对连片、排灌方便，宜为大豆、玉米或马铃薯等茬口，勿重茬。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  整地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5.2.1  整地方式</w:t>
      </w:r>
    </w:p>
    <w:p w:rsidR="00B3658F" w:rsidRDefault="00D31C03">
      <w:pPr>
        <w:spacing w:before="50" w:after="50" w:line="360" w:lineRule="auto"/>
        <w:ind w:firstLineChars="200" w:firstLine="420"/>
        <w:rPr>
          <w:rFonts w:ascii="黑体" w:eastAsia="黑体" w:hAnsi="黑体" w:cs="黑体"/>
          <w:szCs w:val="21"/>
        </w:rPr>
      </w:pPr>
      <w:r>
        <w:rPr>
          <w:rFonts w:hint="eastAsia"/>
          <w:szCs w:val="21"/>
        </w:rPr>
        <w:t>前茬无深翻、深松基础的地块，要进行伏、秋翻地或耙茬深松。前茬有深翻、深松基础地块，</w:t>
      </w:r>
      <w:r w:rsidRPr="00BF1412">
        <w:rPr>
          <w:rFonts w:ascii="宋体" w:hAnsi="宋体" w:cs="宋体" w:hint="eastAsia"/>
          <w:szCs w:val="21"/>
        </w:rPr>
        <w:t>可进行秋耙茬。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5.2.2  翻地质量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伏秋翻地耕深为</w:t>
      </w:r>
      <w:r>
        <w:rPr>
          <w:szCs w:val="21"/>
        </w:rPr>
        <w:t>18 cm</w:t>
      </w:r>
      <w:r>
        <w:rPr>
          <w:rFonts w:hint="eastAsia"/>
          <w:szCs w:val="21"/>
        </w:rPr>
        <w:t>～</w:t>
      </w:r>
      <w:r>
        <w:rPr>
          <w:szCs w:val="21"/>
        </w:rPr>
        <w:t>22 cm</w:t>
      </w:r>
      <w:r>
        <w:rPr>
          <w:rFonts w:hint="eastAsia"/>
          <w:szCs w:val="21"/>
        </w:rPr>
        <w:t>，耕深一致，误差不大于</w:t>
      </w:r>
      <w:r>
        <w:rPr>
          <w:szCs w:val="21"/>
        </w:rPr>
        <w:t>±1 cm</w:t>
      </w:r>
      <w:r>
        <w:rPr>
          <w:rFonts w:hint="eastAsia"/>
          <w:szCs w:val="21"/>
        </w:rPr>
        <w:t>。翻垡整齐严密，不重耕，不漏耕。每隔三年深松深翻一次，深松深翻</w:t>
      </w:r>
      <w:r>
        <w:rPr>
          <w:szCs w:val="21"/>
        </w:rPr>
        <w:t>35</w:t>
      </w:r>
      <w:r w:rsidR="00AE2510">
        <w:rPr>
          <w:szCs w:val="21"/>
        </w:rPr>
        <w:t xml:space="preserve"> </w:t>
      </w:r>
      <w:r>
        <w:rPr>
          <w:szCs w:val="21"/>
        </w:rPr>
        <w:t>cm</w:t>
      </w:r>
      <w:r>
        <w:rPr>
          <w:rFonts w:hint="eastAsia"/>
          <w:szCs w:val="21"/>
        </w:rPr>
        <w:t>以上，打破犁底板结层。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5.2.3  耙地深度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耙地深度要根据翻地质量和土壤墒情确定，轻耙</w:t>
      </w:r>
      <w:r>
        <w:rPr>
          <w:szCs w:val="21"/>
        </w:rPr>
        <w:t>8 cm</w:t>
      </w:r>
      <w:r>
        <w:rPr>
          <w:rFonts w:hint="eastAsia"/>
          <w:szCs w:val="21"/>
        </w:rPr>
        <w:t>～</w:t>
      </w:r>
      <w:r>
        <w:rPr>
          <w:szCs w:val="21"/>
        </w:rPr>
        <w:t>10 cm</w:t>
      </w:r>
      <w:r>
        <w:rPr>
          <w:rFonts w:hint="eastAsia"/>
          <w:szCs w:val="21"/>
        </w:rPr>
        <w:t>，重耙为</w:t>
      </w:r>
      <w:r>
        <w:rPr>
          <w:szCs w:val="21"/>
        </w:rPr>
        <w:t>12 cm</w:t>
      </w:r>
      <w:r>
        <w:rPr>
          <w:rFonts w:hint="eastAsia"/>
          <w:szCs w:val="21"/>
        </w:rPr>
        <w:t>～</w:t>
      </w:r>
      <w:r>
        <w:rPr>
          <w:szCs w:val="21"/>
        </w:rPr>
        <w:t>15 cm</w:t>
      </w:r>
      <w:r>
        <w:rPr>
          <w:rFonts w:hint="eastAsia"/>
          <w:szCs w:val="21"/>
        </w:rPr>
        <w:t>。耙深误差</w:t>
      </w:r>
      <w:r>
        <w:rPr>
          <w:szCs w:val="21"/>
        </w:rPr>
        <w:t>±1</w:t>
      </w:r>
      <w:r w:rsidR="00AE2510">
        <w:rPr>
          <w:szCs w:val="21"/>
        </w:rPr>
        <w:t xml:space="preserve"> </w:t>
      </w:r>
      <w:r>
        <w:rPr>
          <w:szCs w:val="21"/>
        </w:rPr>
        <w:t>cm</w:t>
      </w:r>
      <w:r>
        <w:rPr>
          <w:rFonts w:hint="eastAsia"/>
          <w:szCs w:val="21"/>
        </w:rPr>
        <w:t>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5.2.4  耙茬质量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耙茬要采用对角线法，不漏耙，不拖耙，耙后地表平整，垄沟与垄台无明显差别，沿作业垂直方向在</w:t>
      </w:r>
      <w:r>
        <w:rPr>
          <w:szCs w:val="21"/>
        </w:rPr>
        <w:t>4 m</w:t>
      </w:r>
      <w:r>
        <w:rPr>
          <w:rFonts w:hint="eastAsia"/>
          <w:szCs w:val="21"/>
        </w:rPr>
        <w:t>宽的地面上，高低差不大于</w:t>
      </w:r>
      <w:r>
        <w:rPr>
          <w:szCs w:val="21"/>
        </w:rPr>
        <w:t>3 cm</w:t>
      </w:r>
      <w:r>
        <w:rPr>
          <w:rFonts w:hint="eastAsia"/>
          <w:szCs w:val="21"/>
        </w:rPr>
        <w:t>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5.2.5  镇压质量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除土壤含水量过大的地块外，应及时镇压，以防跑墒。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5.2.6  整地质量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lastRenderedPageBreak/>
        <w:t>要达到上虚下实，地面平整，表土无大土块，耙层无大坷垃，每平方米大于</w:t>
      </w:r>
      <w:r>
        <w:rPr>
          <w:szCs w:val="21"/>
        </w:rPr>
        <w:t>3 cm</w:t>
      </w:r>
      <w:r>
        <w:rPr>
          <w:rFonts w:hint="eastAsia"/>
          <w:szCs w:val="21"/>
        </w:rPr>
        <w:t>直径土块不超过</w:t>
      </w:r>
      <w:r>
        <w:rPr>
          <w:szCs w:val="21"/>
        </w:rPr>
        <w:t>3</w:t>
      </w:r>
      <w:r>
        <w:rPr>
          <w:rFonts w:hint="eastAsia"/>
          <w:szCs w:val="21"/>
        </w:rPr>
        <w:t>个。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  播种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6.1  播期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在保证播种质量前提下，适期早播，表土化冻</w:t>
      </w:r>
      <w:r>
        <w:rPr>
          <w:szCs w:val="21"/>
        </w:rPr>
        <w:t>4</w:t>
      </w:r>
      <w:r w:rsidR="00AE2510">
        <w:rPr>
          <w:szCs w:val="21"/>
        </w:rPr>
        <w:t xml:space="preserve"> </w:t>
      </w:r>
      <w:r>
        <w:rPr>
          <w:szCs w:val="21"/>
        </w:rPr>
        <w:t>cm</w:t>
      </w:r>
      <w:r>
        <w:rPr>
          <w:rFonts w:hint="eastAsia"/>
          <w:szCs w:val="21"/>
        </w:rPr>
        <w:t>～</w:t>
      </w:r>
      <w:r>
        <w:rPr>
          <w:szCs w:val="21"/>
        </w:rPr>
        <w:t>5 cm</w:t>
      </w:r>
      <w:r>
        <w:rPr>
          <w:rFonts w:hint="eastAsia"/>
          <w:szCs w:val="21"/>
        </w:rPr>
        <w:t>，机械能进地作业即可播种。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6.2  播法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可采用</w:t>
      </w:r>
      <w:r>
        <w:rPr>
          <w:szCs w:val="21"/>
        </w:rPr>
        <w:t>7.5 cm</w:t>
      </w:r>
      <w:r>
        <w:rPr>
          <w:rFonts w:hint="eastAsia"/>
          <w:szCs w:val="21"/>
        </w:rPr>
        <w:t>，</w:t>
      </w:r>
      <w:r>
        <w:rPr>
          <w:szCs w:val="21"/>
        </w:rPr>
        <w:t>15 cm</w:t>
      </w:r>
      <w:r>
        <w:rPr>
          <w:rFonts w:hint="eastAsia"/>
          <w:szCs w:val="21"/>
        </w:rPr>
        <w:t>单条或</w:t>
      </w:r>
      <w:r>
        <w:rPr>
          <w:szCs w:val="21"/>
        </w:rPr>
        <w:t>30 cm</w:t>
      </w:r>
      <w:r>
        <w:rPr>
          <w:rFonts w:hint="eastAsia"/>
          <w:szCs w:val="21"/>
        </w:rPr>
        <w:t>双条机械播种。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6.3  播深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播种镇压后种子距地表</w:t>
      </w:r>
      <w:r>
        <w:rPr>
          <w:szCs w:val="21"/>
        </w:rPr>
        <w:t>3 cm</w:t>
      </w:r>
      <w:r>
        <w:rPr>
          <w:rFonts w:hint="eastAsia"/>
          <w:szCs w:val="21"/>
        </w:rPr>
        <w:t>，误差不大于</w:t>
      </w:r>
      <w:r>
        <w:rPr>
          <w:szCs w:val="21"/>
        </w:rPr>
        <w:t>±0.5 cm</w:t>
      </w:r>
      <w:r>
        <w:rPr>
          <w:rFonts w:hint="eastAsia"/>
          <w:szCs w:val="21"/>
        </w:rPr>
        <w:t>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  密度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播种密度应根据品种、地势和茬口而定。一般优质麦保苗</w:t>
      </w:r>
      <w:r w:rsidR="00E33F30">
        <w:rPr>
          <w:rFonts w:hint="eastAsia"/>
          <w:szCs w:val="21"/>
        </w:rPr>
        <w:t>40</w:t>
      </w:r>
      <w:r>
        <w:rPr>
          <w:rFonts w:hint="eastAsia"/>
          <w:szCs w:val="21"/>
        </w:rPr>
        <w:t>万株</w:t>
      </w:r>
      <w:r>
        <w:rPr>
          <w:szCs w:val="21"/>
        </w:rPr>
        <w:t>/</w:t>
      </w:r>
      <w:r w:rsidR="00E33F30">
        <w:rPr>
          <w:rFonts w:hint="eastAsia"/>
          <w:szCs w:val="21"/>
        </w:rPr>
        <w:t>亩</w:t>
      </w:r>
      <w:r>
        <w:rPr>
          <w:rFonts w:hint="eastAsia"/>
          <w:szCs w:val="21"/>
        </w:rPr>
        <w:t>～</w:t>
      </w:r>
      <w:r w:rsidR="00E33F30">
        <w:rPr>
          <w:rFonts w:hint="eastAsia"/>
          <w:szCs w:val="21"/>
        </w:rPr>
        <w:t>43</w:t>
      </w:r>
      <w:r>
        <w:rPr>
          <w:rFonts w:hint="eastAsia"/>
          <w:szCs w:val="21"/>
        </w:rPr>
        <w:t>万株</w:t>
      </w:r>
      <w:r>
        <w:rPr>
          <w:szCs w:val="21"/>
        </w:rPr>
        <w:t>/</w:t>
      </w:r>
      <w:r w:rsidR="00E33F30">
        <w:rPr>
          <w:rFonts w:hint="eastAsia"/>
          <w:szCs w:val="21"/>
        </w:rPr>
        <w:t>亩</w:t>
      </w:r>
      <w:r>
        <w:rPr>
          <w:rFonts w:hint="eastAsia"/>
          <w:szCs w:val="21"/>
        </w:rPr>
        <w:t>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  播量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按每</w:t>
      </w:r>
      <w:r w:rsidR="00E33F30">
        <w:rPr>
          <w:rFonts w:hint="eastAsia"/>
          <w:szCs w:val="21"/>
        </w:rPr>
        <w:t>亩</w:t>
      </w:r>
      <w:r>
        <w:rPr>
          <w:rFonts w:hint="eastAsia"/>
          <w:szCs w:val="21"/>
        </w:rPr>
        <w:t>保苗株数、千粒重、发芽率、清洁率和田间保苗率</w:t>
      </w:r>
      <w:r>
        <w:rPr>
          <w:szCs w:val="21"/>
        </w:rPr>
        <w:t>90%</w:t>
      </w:r>
      <w:r>
        <w:rPr>
          <w:rFonts w:hint="eastAsia"/>
          <w:szCs w:val="21"/>
        </w:rPr>
        <w:t>～</w:t>
      </w:r>
      <w:r>
        <w:rPr>
          <w:szCs w:val="21"/>
        </w:rPr>
        <w:t>95%</w:t>
      </w:r>
      <w:r>
        <w:rPr>
          <w:rFonts w:hint="eastAsia"/>
          <w:szCs w:val="21"/>
        </w:rPr>
        <w:t>计算播量。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6.6  播种质量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播种要做到不重播、不漏播，深浅一致，覆土严密，播后及时镇压。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  田间管理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7.1  灌溉</w:t>
      </w:r>
    </w:p>
    <w:p w:rsidR="00B3658F" w:rsidRDefault="00D31C03">
      <w:pPr>
        <w:spacing w:before="50" w:after="50" w:line="360" w:lineRule="auto"/>
        <w:ind w:firstLineChars="200" w:firstLine="420"/>
        <w:rPr>
          <w:rFonts w:eastAsia="黑体"/>
          <w:szCs w:val="21"/>
        </w:rPr>
      </w:pPr>
      <w:r>
        <w:rPr>
          <w:rFonts w:hint="eastAsia"/>
          <w:szCs w:val="21"/>
        </w:rPr>
        <w:t>有灌水条件的地块，在小麦出苗期、分蘖期和灌浆期如遇干旱，及时灌溉，做到一次灌足。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7.2  施肥</w:t>
      </w:r>
    </w:p>
    <w:p w:rsidR="00B3658F" w:rsidRDefault="00D31C03">
      <w:pPr>
        <w:spacing w:line="360" w:lineRule="auto"/>
        <w:ind w:firstLineChars="200" w:firstLine="420"/>
        <w:rPr>
          <w:rFonts w:eastAsia="黑体"/>
          <w:szCs w:val="21"/>
        </w:rPr>
      </w:pPr>
      <w:r>
        <w:rPr>
          <w:rFonts w:ascii="宋体" w:hAnsi="宋体" w:hint="eastAsia"/>
          <w:bCs/>
          <w:szCs w:val="21"/>
        </w:rPr>
        <w:t>应符合NY/T</w:t>
      </w:r>
      <w:r w:rsidR="002364FD">
        <w:rPr>
          <w:rFonts w:ascii="宋体" w:hAnsi="宋体" w:hint="eastAsia"/>
          <w:bCs/>
          <w:szCs w:val="21"/>
        </w:rPr>
        <w:t>394</w:t>
      </w:r>
      <w:r>
        <w:rPr>
          <w:rFonts w:ascii="宋体" w:hAnsi="宋体" w:hint="eastAsia"/>
          <w:bCs/>
          <w:szCs w:val="21"/>
        </w:rPr>
        <w:t>的</w:t>
      </w:r>
      <w:r w:rsidR="00E77DA1">
        <w:rPr>
          <w:rFonts w:ascii="宋体" w:hAnsi="宋体" w:hint="eastAsia"/>
          <w:bCs/>
          <w:szCs w:val="21"/>
        </w:rPr>
        <w:t>规定</w:t>
      </w:r>
      <w:r>
        <w:rPr>
          <w:rFonts w:ascii="宋体" w:hAnsi="宋体" w:hint="eastAsia"/>
          <w:bCs/>
          <w:szCs w:val="21"/>
        </w:rPr>
        <w:t xml:space="preserve">。以有机肥为主，化肥为辅。当季无机氮与有机氮用量比不超过 1:1。根据土壤供肥能力和土壤养分的平衡状况，以及气候、栽培等因素，进行测土配方平衡施肥，做到氮、磷、钾及中、微量元素合理搭配。 </w:t>
      </w:r>
    </w:p>
    <w:p w:rsidR="00B3658F" w:rsidRDefault="002364FD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根据土壤肥力状况，每亩</w:t>
      </w:r>
      <w:r w:rsidR="00D31C03">
        <w:rPr>
          <w:rFonts w:hint="eastAsia"/>
          <w:szCs w:val="21"/>
        </w:rPr>
        <w:t>施用腐熟有机肥</w:t>
      </w:r>
      <w:r>
        <w:rPr>
          <w:rFonts w:hint="eastAsia"/>
          <w:szCs w:val="21"/>
        </w:rPr>
        <w:t>2000</w:t>
      </w:r>
      <w:r w:rsidR="00AE2510">
        <w:rPr>
          <w:szCs w:val="21"/>
        </w:rPr>
        <w:t xml:space="preserve"> </w:t>
      </w:r>
      <w:r>
        <w:rPr>
          <w:rFonts w:hint="eastAsia"/>
          <w:szCs w:val="21"/>
        </w:rPr>
        <w:t>kg</w:t>
      </w:r>
      <w:r w:rsidR="00D31C03">
        <w:rPr>
          <w:rFonts w:hint="eastAsia"/>
          <w:szCs w:val="21"/>
        </w:rPr>
        <w:t>，结合翻地或耙地一次施入</w:t>
      </w:r>
      <w:r>
        <w:rPr>
          <w:rFonts w:hint="eastAsia"/>
          <w:szCs w:val="21"/>
        </w:rPr>
        <w:t>；</w:t>
      </w:r>
      <w:r w:rsidR="00D31C03">
        <w:rPr>
          <w:rFonts w:hint="eastAsia"/>
          <w:szCs w:val="21"/>
        </w:rPr>
        <w:t>每</w:t>
      </w:r>
      <w:r>
        <w:rPr>
          <w:rFonts w:hint="eastAsia"/>
          <w:szCs w:val="21"/>
        </w:rPr>
        <w:t>亩施用尿素</w:t>
      </w:r>
      <w:r>
        <w:rPr>
          <w:rFonts w:hint="eastAsia"/>
          <w:szCs w:val="21"/>
        </w:rPr>
        <w:t>3</w:t>
      </w:r>
      <w:r w:rsidR="00AE2510">
        <w:rPr>
          <w:szCs w:val="21"/>
        </w:rPr>
        <w:t xml:space="preserve">.0 </w:t>
      </w:r>
      <w:r w:rsidR="00D31C03">
        <w:rPr>
          <w:szCs w:val="21"/>
        </w:rPr>
        <w:t>kg</w:t>
      </w:r>
      <w:r w:rsidR="00D31C03">
        <w:rPr>
          <w:rFonts w:hint="eastAsia"/>
          <w:szCs w:val="21"/>
        </w:rPr>
        <w:t>～</w:t>
      </w:r>
      <w:r>
        <w:rPr>
          <w:rFonts w:hint="eastAsia"/>
          <w:szCs w:val="21"/>
        </w:rPr>
        <w:t>3.5</w:t>
      </w:r>
      <w:r w:rsidR="00AE2510">
        <w:rPr>
          <w:szCs w:val="21"/>
        </w:rPr>
        <w:t xml:space="preserve"> </w:t>
      </w:r>
      <w:r w:rsidR="00D31C03">
        <w:rPr>
          <w:szCs w:val="21"/>
        </w:rPr>
        <w:t>kg</w:t>
      </w:r>
      <w:r w:rsidR="00D31C03">
        <w:rPr>
          <w:rFonts w:hint="eastAsia"/>
          <w:szCs w:val="21"/>
        </w:rPr>
        <w:t>，磷酸二铵</w:t>
      </w:r>
      <w:r>
        <w:rPr>
          <w:rFonts w:hint="eastAsia"/>
          <w:szCs w:val="21"/>
        </w:rPr>
        <w:t>5.4</w:t>
      </w:r>
      <w:r w:rsidR="00AE2510">
        <w:rPr>
          <w:szCs w:val="21"/>
        </w:rPr>
        <w:t xml:space="preserve"> </w:t>
      </w:r>
      <w:r w:rsidR="00D31C03">
        <w:rPr>
          <w:szCs w:val="21"/>
        </w:rPr>
        <w:t>kg</w:t>
      </w:r>
      <w:r w:rsidR="00D31C03">
        <w:rPr>
          <w:rFonts w:hint="eastAsia"/>
          <w:szCs w:val="21"/>
        </w:rPr>
        <w:t>～</w:t>
      </w:r>
      <w:r>
        <w:rPr>
          <w:rFonts w:hint="eastAsia"/>
          <w:szCs w:val="21"/>
        </w:rPr>
        <w:t>7</w:t>
      </w:r>
      <w:r w:rsidR="00AE2510">
        <w:rPr>
          <w:szCs w:val="21"/>
        </w:rPr>
        <w:t xml:space="preserve">.0 </w:t>
      </w:r>
      <w:r w:rsidR="00D31C03">
        <w:rPr>
          <w:szCs w:val="21"/>
        </w:rPr>
        <w:t>kg</w:t>
      </w:r>
      <w:r w:rsidR="00D31C03">
        <w:rPr>
          <w:rFonts w:hint="eastAsia"/>
          <w:szCs w:val="21"/>
        </w:rPr>
        <w:t>，硫酸钾</w:t>
      </w:r>
      <w:r>
        <w:rPr>
          <w:rFonts w:hint="eastAsia"/>
          <w:szCs w:val="21"/>
        </w:rPr>
        <w:t>2.4</w:t>
      </w:r>
      <w:r w:rsidR="00AE2510">
        <w:rPr>
          <w:szCs w:val="21"/>
        </w:rPr>
        <w:t xml:space="preserve"> </w:t>
      </w:r>
      <w:r w:rsidR="00D31C03">
        <w:rPr>
          <w:szCs w:val="21"/>
        </w:rPr>
        <w:t>kg</w:t>
      </w:r>
      <w:r w:rsidR="00D31C03">
        <w:rPr>
          <w:rFonts w:hint="eastAsia"/>
          <w:szCs w:val="21"/>
        </w:rPr>
        <w:t>～</w:t>
      </w:r>
      <w:r>
        <w:rPr>
          <w:rFonts w:hint="eastAsia"/>
          <w:szCs w:val="21"/>
        </w:rPr>
        <w:t>3.5</w:t>
      </w:r>
      <w:r w:rsidR="00AE2510">
        <w:rPr>
          <w:szCs w:val="21"/>
        </w:rPr>
        <w:t xml:space="preserve"> </w:t>
      </w:r>
      <w:r w:rsidR="00D31C03">
        <w:rPr>
          <w:szCs w:val="21"/>
        </w:rPr>
        <w:t>kg</w:t>
      </w:r>
      <w:r w:rsidR="00D31C03">
        <w:rPr>
          <w:rFonts w:hint="eastAsia"/>
          <w:szCs w:val="21"/>
        </w:rPr>
        <w:t>。磷钾肥作基肥，最好于秋整地时全部施入，氮肥总量的</w:t>
      </w:r>
      <w:r w:rsidR="00D31C03">
        <w:rPr>
          <w:szCs w:val="21"/>
        </w:rPr>
        <w:t>3/4</w:t>
      </w:r>
      <w:r w:rsidR="00D31C03">
        <w:rPr>
          <w:rFonts w:hint="eastAsia"/>
          <w:szCs w:val="21"/>
        </w:rPr>
        <w:t>作基肥秋施，</w:t>
      </w:r>
      <w:r w:rsidR="00D31C03">
        <w:rPr>
          <w:szCs w:val="21"/>
        </w:rPr>
        <w:t>1/4</w:t>
      </w:r>
      <w:r w:rsidR="00D31C03">
        <w:rPr>
          <w:rFonts w:hint="eastAsia"/>
          <w:szCs w:val="21"/>
        </w:rPr>
        <w:t>作种肥春天播种时施入。</w:t>
      </w:r>
      <w:r w:rsidR="00E77DA1">
        <w:rPr>
          <w:rFonts w:hint="eastAsia"/>
          <w:szCs w:val="21"/>
        </w:rPr>
        <w:t>种肥分箱播下，切勿种肥混拌。</w:t>
      </w:r>
    </w:p>
    <w:p w:rsidR="00B3658F" w:rsidRPr="005D13F2" w:rsidRDefault="00462511" w:rsidP="00462511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7.3  </w:t>
      </w:r>
      <w:r w:rsidR="005D13F2" w:rsidRPr="005D13F2">
        <w:rPr>
          <w:rFonts w:ascii="黑体" w:eastAsia="黑体" w:hAnsi="黑体" w:cs="黑体" w:hint="eastAsia"/>
          <w:szCs w:val="21"/>
        </w:rPr>
        <w:t>压青苗</w:t>
      </w:r>
    </w:p>
    <w:p w:rsidR="00B3658F" w:rsidRDefault="00D31C03">
      <w:pPr>
        <w:spacing w:before="50" w:after="5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小麦三叶期压青苗。用</w:t>
      </w:r>
      <w:r>
        <w:rPr>
          <w:szCs w:val="21"/>
        </w:rPr>
        <w:t>V</w:t>
      </w:r>
      <w:r>
        <w:rPr>
          <w:rFonts w:hint="eastAsia"/>
          <w:szCs w:val="21"/>
        </w:rPr>
        <w:t>型镇压器或石滚子压</w:t>
      </w:r>
      <w:r>
        <w:rPr>
          <w:szCs w:val="21"/>
        </w:rPr>
        <w:t>1</w:t>
      </w:r>
      <w:r>
        <w:rPr>
          <w:rFonts w:hint="eastAsia"/>
          <w:szCs w:val="21"/>
        </w:rPr>
        <w:t>次～</w:t>
      </w:r>
      <w:r>
        <w:rPr>
          <w:szCs w:val="21"/>
        </w:rPr>
        <w:t>2</w:t>
      </w:r>
      <w:r>
        <w:rPr>
          <w:rFonts w:hint="eastAsia"/>
          <w:szCs w:val="21"/>
        </w:rPr>
        <w:t>次。采用顺垄压法，禁止高速作业。地</w:t>
      </w:r>
      <w:r>
        <w:rPr>
          <w:rFonts w:hint="eastAsia"/>
          <w:szCs w:val="21"/>
        </w:rPr>
        <w:lastRenderedPageBreak/>
        <w:t>硬、地湿、苗弱忌压。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  病虫草害防治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7.4.1  防治原则</w:t>
      </w:r>
    </w:p>
    <w:p w:rsidR="00B3658F" w:rsidRDefault="00D31C03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坚持</w:t>
      </w:r>
      <w:r>
        <w:rPr>
          <w:rFonts w:hint="eastAsia"/>
          <w:kern w:val="0"/>
          <w:szCs w:val="21"/>
        </w:rPr>
        <w:t>“</w:t>
      </w:r>
      <w:r>
        <w:rPr>
          <w:kern w:val="0"/>
          <w:szCs w:val="21"/>
        </w:rPr>
        <w:t>预防为主，综</w:t>
      </w:r>
      <w:r w:rsidRPr="002364FD">
        <w:rPr>
          <w:kern w:val="0"/>
          <w:szCs w:val="21"/>
        </w:rPr>
        <w:t>合防治</w:t>
      </w:r>
      <w:r w:rsidRPr="002364FD">
        <w:rPr>
          <w:rFonts w:hint="eastAsia"/>
          <w:kern w:val="0"/>
          <w:szCs w:val="21"/>
        </w:rPr>
        <w:t>”</w:t>
      </w:r>
      <w:r w:rsidRPr="002364FD">
        <w:rPr>
          <w:kern w:val="0"/>
          <w:szCs w:val="21"/>
        </w:rPr>
        <w:t>的植保方针，以农业防治为基础，优先采用物理和生物防治技术，辅之化学防治措施。应使用高效、低</w:t>
      </w:r>
      <w:r>
        <w:rPr>
          <w:kern w:val="0"/>
          <w:szCs w:val="21"/>
        </w:rPr>
        <w:t>毒、低残留农药品种，药剂选择和使用应符合</w:t>
      </w:r>
      <w:r>
        <w:rPr>
          <w:kern w:val="0"/>
          <w:szCs w:val="21"/>
        </w:rPr>
        <w:t>NY/T 393</w:t>
      </w:r>
      <w:r>
        <w:rPr>
          <w:kern w:val="0"/>
          <w:szCs w:val="21"/>
        </w:rPr>
        <w:t>的要求。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7.4.2  </w:t>
      </w:r>
      <w:r w:rsidR="00462511">
        <w:rPr>
          <w:rFonts w:ascii="黑体" w:eastAsia="黑体" w:hAnsi="黑体" w:cs="黑体" w:hint="eastAsia"/>
          <w:szCs w:val="21"/>
        </w:rPr>
        <w:t>常见病虫草害</w:t>
      </w:r>
    </w:p>
    <w:p w:rsidR="00B3658F" w:rsidRPr="002364FD" w:rsidRDefault="00D31C03">
      <w:pPr>
        <w:spacing w:before="50" w:after="50" w:line="360" w:lineRule="auto"/>
        <w:ind w:firstLineChars="200" w:firstLine="420"/>
        <w:rPr>
          <w:kern w:val="0"/>
          <w:szCs w:val="21"/>
        </w:rPr>
      </w:pPr>
      <w:r w:rsidRPr="002364FD">
        <w:rPr>
          <w:rFonts w:hint="eastAsia"/>
          <w:kern w:val="0"/>
          <w:szCs w:val="21"/>
        </w:rPr>
        <w:t>赤霉病、叶枯病、白粉病、锈病</w:t>
      </w:r>
      <w:r w:rsidR="007B6CE0">
        <w:rPr>
          <w:rFonts w:hint="eastAsia"/>
          <w:kern w:val="0"/>
          <w:szCs w:val="21"/>
        </w:rPr>
        <w:t>；</w:t>
      </w:r>
      <w:r w:rsidRPr="002364FD">
        <w:rPr>
          <w:rFonts w:hint="eastAsia"/>
          <w:kern w:val="0"/>
          <w:szCs w:val="21"/>
        </w:rPr>
        <w:t>粘虫、蚜虫、麦秆蝇</w:t>
      </w:r>
      <w:r w:rsidR="007B6CE0">
        <w:rPr>
          <w:rFonts w:hint="eastAsia"/>
          <w:kern w:val="0"/>
          <w:szCs w:val="21"/>
        </w:rPr>
        <w:t>；</w:t>
      </w:r>
      <w:r w:rsidRPr="002364FD">
        <w:rPr>
          <w:rFonts w:hint="eastAsia"/>
          <w:kern w:val="0"/>
          <w:szCs w:val="21"/>
        </w:rPr>
        <w:t>禾本科杂草、阔叶杂草等。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7.4.3  </w:t>
      </w:r>
      <w:r w:rsidR="00462511">
        <w:rPr>
          <w:rFonts w:ascii="黑体" w:eastAsia="黑体" w:hAnsi="黑体" w:cs="黑体" w:hint="eastAsia"/>
          <w:szCs w:val="21"/>
        </w:rPr>
        <w:t>防治措施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7.4.3.1  农业防治</w:t>
      </w:r>
    </w:p>
    <w:p w:rsidR="00B3658F" w:rsidRDefault="00D31C03">
      <w:pPr>
        <w:spacing w:line="360" w:lineRule="auto"/>
        <w:rPr>
          <w:rFonts w:eastAsia="黑体"/>
          <w:szCs w:val="21"/>
        </w:rPr>
      </w:pPr>
      <w:r>
        <w:rPr>
          <w:rFonts w:eastAsia="黑体" w:hint="eastAsia"/>
          <w:szCs w:val="21"/>
        </w:rPr>
        <w:t xml:space="preserve">    </w:t>
      </w:r>
      <w:r>
        <w:rPr>
          <w:rFonts w:hint="eastAsia"/>
        </w:rPr>
        <w:t>选用多抗品种，合理轮作和耕作，合理密植和施肥，精细管理，培育壮苗等。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7.4.3.2  物理防治</w:t>
      </w:r>
    </w:p>
    <w:p w:rsidR="00B3658F" w:rsidRDefault="00D31C03">
      <w:pPr>
        <w:spacing w:before="50" w:after="50" w:line="360" w:lineRule="auto"/>
        <w:ind w:firstLine="420"/>
      </w:pPr>
      <w:r>
        <w:rPr>
          <w:rFonts w:hint="eastAsia"/>
        </w:rPr>
        <w:t>采用太阳能杀虫灯、黄板等诱杀害虫。如：</w:t>
      </w:r>
      <w:r>
        <w:rPr>
          <w:rFonts w:hint="eastAsia"/>
          <w:szCs w:val="21"/>
        </w:rPr>
        <w:t>每公顷设置一盏杀虫灯，诱杀粘虫成虫；每</w:t>
      </w:r>
      <w:r w:rsidR="008D40C3">
        <w:rPr>
          <w:rFonts w:hint="eastAsia"/>
          <w:szCs w:val="21"/>
        </w:rPr>
        <w:t>亩</w:t>
      </w:r>
      <w:r>
        <w:rPr>
          <w:rFonts w:hint="eastAsia"/>
          <w:szCs w:val="21"/>
        </w:rPr>
        <w:t>悬挂黄板</w:t>
      </w:r>
      <w:r w:rsidR="008D40C3">
        <w:rPr>
          <w:rFonts w:hint="eastAsia"/>
          <w:szCs w:val="21"/>
        </w:rPr>
        <w:t>2</w:t>
      </w:r>
      <w:r>
        <w:rPr>
          <w:szCs w:val="21"/>
        </w:rPr>
        <w:t>0</w:t>
      </w:r>
      <w:r>
        <w:rPr>
          <w:rFonts w:hint="eastAsia"/>
          <w:szCs w:val="21"/>
        </w:rPr>
        <w:t>片左右，悬挂高度超过植株</w:t>
      </w:r>
      <w:r>
        <w:rPr>
          <w:szCs w:val="21"/>
        </w:rPr>
        <w:t xml:space="preserve"> 15 cm</w:t>
      </w:r>
      <w:r>
        <w:rPr>
          <w:rFonts w:hint="eastAsia"/>
          <w:szCs w:val="21"/>
        </w:rPr>
        <w:t>～</w:t>
      </w:r>
      <w:r>
        <w:rPr>
          <w:szCs w:val="21"/>
        </w:rPr>
        <w:t xml:space="preserve">20 cm </w:t>
      </w:r>
      <w:r>
        <w:rPr>
          <w:rFonts w:hint="eastAsia"/>
          <w:szCs w:val="21"/>
        </w:rPr>
        <w:t>处。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7.4.3.3  生物防治</w:t>
      </w:r>
    </w:p>
    <w:p w:rsidR="00B3658F" w:rsidRDefault="00D31C03">
      <w:pPr>
        <w:spacing w:before="50" w:after="50" w:line="360" w:lineRule="auto"/>
        <w:ind w:firstLineChars="200" w:firstLine="420"/>
      </w:pPr>
      <w:r>
        <w:rPr>
          <w:szCs w:val="21"/>
        </w:rPr>
        <w:t>保护利用麦田自然天敌，选用植物源农药等生物农药防治病虫害。</w:t>
      </w:r>
    </w:p>
    <w:p w:rsidR="00B3658F" w:rsidRDefault="00D31C03">
      <w:pPr>
        <w:pStyle w:val="af"/>
        <w:tabs>
          <w:tab w:val="center" w:pos="4201"/>
          <w:tab w:val="right" w:leader="dot" w:pos="9298"/>
        </w:tabs>
        <w:spacing w:line="360" w:lineRule="auto"/>
        <w:ind w:firstLineChars="0" w:firstLine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7.4.3.4  化学防治</w:t>
      </w:r>
    </w:p>
    <w:p w:rsidR="00B3658F" w:rsidRDefault="00D31C03">
      <w:pPr>
        <w:pStyle w:val="af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/>
        </w:rPr>
      </w:pPr>
      <w:r>
        <w:rPr>
          <w:rFonts w:hAnsi="宋体" w:hint="eastAsia"/>
        </w:rPr>
        <w:t>具体化学防治方案参见附录A。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  采收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8.1  采收时期</w:t>
      </w:r>
    </w:p>
    <w:p w:rsidR="00B3658F" w:rsidRDefault="00D31C03">
      <w:pPr>
        <w:spacing w:before="50" w:after="50" w:line="360" w:lineRule="auto"/>
        <w:rPr>
          <w:szCs w:val="21"/>
        </w:rPr>
      </w:pPr>
      <w:r>
        <w:rPr>
          <w:szCs w:val="21"/>
        </w:rPr>
        <w:t xml:space="preserve">    </w:t>
      </w:r>
      <w:r>
        <w:rPr>
          <w:rFonts w:hint="eastAsia"/>
          <w:szCs w:val="21"/>
        </w:rPr>
        <w:t>蜡熟末期进行割晒，</w:t>
      </w:r>
      <w:r>
        <w:rPr>
          <w:szCs w:val="21"/>
        </w:rPr>
        <w:t>3 d</w:t>
      </w:r>
      <w:r>
        <w:rPr>
          <w:rFonts w:hint="eastAsia"/>
          <w:szCs w:val="21"/>
        </w:rPr>
        <w:t>后拾禾脱粒，或在完熟期根据天气情况进行机械直接采收。</w:t>
      </w:r>
    </w:p>
    <w:p w:rsidR="00B3658F" w:rsidRDefault="00D31C03">
      <w:pPr>
        <w:spacing w:before="50" w:after="50"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8.2  采收要求</w:t>
      </w:r>
    </w:p>
    <w:p w:rsidR="00B3658F" w:rsidRDefault="00D31C03">
      <w:pPr>
        <w:spacing w:before="50" w:after="50" w:line="360" w:lineRule="auto"/>
        <w:rPr>
          <w:szCs w:val="21"/>
        </w:rPr>
      </w:pPr>
      <w:r>
        <w:rPr>
          <w:szCs w:val="21"/>
        </w:rPr>
        <w:t xml:space="preserve">    </w:t>
      </w:r>
      <w:r>
        <w:rPr>
          <w:rFonts w:hint="eastAsia"/>
          <w:szCs w:val="21"/>
        </w:rPr>
        <w:t>割晒后熟作用完成后，及时脱谷，拉运。采用拾禾脱粒或联合收割机作业时损失不得超过</w:t>
      </w:r>
      <w:r>
        <w:rPr>
          <w:szCs w:val="21"/>
        </w:rPr>
        <w:t>3%</w:t>
      </w:r>
      <w:r>
        <w:rPr>
          <w:rFonts w:hint="eastAsia"/>
          <w:szCs w:val="21"/>
        </w:rPr>
        <w:t>，破碎率不得超过</w:t>
      </w:r>
      <w:r>
        <w:rPr>
          <w:szCs w:val="21"/>
        </w:rPr>
        <w:t>1%</w:t>
      </w:r>
      <w:r>
        <w:rPr>
          <w:rFonts w:hint="eastAsia"/>
          <w:szCs w:val="21"/>
        </w:rPr>
        <w:t>，清洁率要达到</w:t>
      </w:r>
      <w:r>
        <w:rPr>
          <w:szCs w:val="21"/>
        </w:rPr>
        <w:t>95%</w:t>
      </w:r>
      <w:r>
        <w:rPr>
          <w:rFonts w:hint="eastAsia"/>
          <w:szCs w:val="21"/>
        </w:rPr>
        <w:t>以上。机械采收不应造成二次污染。</w:t>
      </w:r>
    </w:p>
    <w:p w:rsidR="00B3658F" w:rsidRDefault="00D31C03">
      <w:pPr>
        <w:spacing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  生产废弃物的处理</w:t>
      </w:r>
    </w:p>
    <w:p w:rsidR="00B3658F" w:rsidRDefault="00D31C03">
      <w:pPr>
        <w:spacing w:line="360" w:lineRule="auto"/>
        <w:rPr>
          <w:rFonts w:ascii="宋体" w:hAnsi="宋体"/>
        </w:rPr>
      </w:pPr>
      <w:r>
        <w:rPr>
          <w:rFonts w:ascii="宋体" w:hAnsi="宋体" w:cs="宋体" w:hint="eastAsia"/>
          <w:szCs w:val="21"/>
        </w:rPr>
        <w:t xml:space="preserve">    除草剂、杀菌剂、杀虫剂、种衣剂以及包衣种子的包装物不得重复使用，使用后深埋或集中处理，不能引起环境污染。采收后的小麦秸秆应粉碎抛洒还田，也可将其收集整理后用于其他用途。</w:t>
      </w:r>
    </w:p>
    <w:p w:rsidR="00297B2B" w:rsidRPr="0000310C" w:rsidRDefault="00297B2B" w:rsidP="00297B2B">
      <w:pPr>
        <w:spacing w:before="50" w:after="50" w:line="360" w:lineRule="auto"/>
        <w:rPr>
          <w:rFonts w:ascii="黑体" w:eastAsia="黑体" w:hAnsi="黑体" w:cs="黑体"/>
          <w:color w:val="000000"/>
          <w:szCs w:val="21"/>
        </w:rPr>
      </w:pPr>
      <w:r w:rsidRPr="0000310C">
        <w:rPr>
          <w:rFonts w:ascii="黑体" w:eastAsia="黑体" w:hAnsi="黑体" w:cs="黑体" w:hint="eastAsia"/>
          <w:color w:val="000000"/>
          <w:szCs w:val="21"/>
        </w:rPr>
        <w:t>10贮藏</w:t>
      </w:r>
    </w:p>
    <w:p w:rsidR="00297B2B" w:rsidRPr="0000310C" w:rsidRDefault="00297B2B" w:rsidP="00297B2B">
      <w:pPr>
        <w:spacing w:line="360" w:lineRule="auto"/>
        <w:ind w:firstLineChars="200" w:firstLine="420"/>
        <w:rPr>
          <w:rFonts w:ascii="宋体" w:hAnsi="宋体" w:cs="宋体"/>
          <w:color w:val="000000"/>
          <w:szCs w:val="21"/>
        </w:rPr>
      </w:pPr>
      <w:r w:rsidRPr="0000310C">
        <w:rPr>
          <w:rFonts w:ascii="宋体" w:hAnsi="宋体" w:cs="宋体" w:hint="eastAsia"/>
          <w:color w:val="000000"/>
          <w:szCs w:val="21"/>
        </w:rPr>
        <w:lastRenderedPageBreak/>
        <w:t>贮藏时，籽粒含水量要在</w:t>
      </w:r>
      <w:r w:rsidRPr="0000310C">
        <w:rPr>
          <w:rFonts w:ascii="宋体" w:hAnsi="宋体" w:cs="宋体"/>
          <w:color w:val="000000"/>
          <w:szCs w:val="21"/>
        </w:rPr>
        <w:t>13.0%</w:t>
      </w:r>
      <w:r w:rsidRPr="0000310C">
        <w:rPr>
          <w:rFonts w:ascii="宋体" w:hAnsi="宋体" w:cs="宋体" w:hint="eastAsia"/>
          <w:color w:val="000000"/>
          <w:szCs w:val="21"/>
        </w:rPr>
        <w:t>以下。贮藏设施、周围环境、卫生要求、出入库、堆放等应符合</w:t>
      </w:r>
      <w:r w:rsidRPr="0000310C">
        <w:rPr>
          <w:rFonts w:ascii="宋体" w:hAnsi="宋体" w:cs="宋体"/>
          <w:color w:val="000000"/>
          <w:szCs w:val="21"/>
        </w:rPr>
        <w:t>NY/T1056</w:t>
      </w:r>
      <w:r w:rsidRPr="0000310C">
        <w:rPr>
          <w:rFonts w:ascii="宋体" w:hAnsi="宋体" w:cs="宋体" w:hint="eastAsia"/>
          <w:color w:val="000000"/>
          <w:szCs w:val="21"/>
        </w:rPr>
        <w:t>的要求。贮藏设施应具有防虫、防鼠、防鸟的功能，贮藏条件应符合相应食品的温度、湿度和通风等贮藏要求。</w:t>
      </w:r>
    </w:p>
    <w:p w:rsidR="00297B2B" w:rsidRPr="0000310C" w:rsidRDefault="00297B2B" w:rsidP="00297B2B">
      <w:pPr>
        <w:spacing w:before="50" w:after="50" w:line="360" w:lineRule="auto"/>
        <w:rPr>
          <w:rFonts w:ascii="黑体" w:eastAsia="黑体" w:hAnsi="黑体" w:cs="黑体"/>
          <w:color w:val="000000"/>
          <w:szCs w:val="21"/>
        </w:rPr>
      </w:pPr>
      <w:r w:rsidRPr="0000310C">
        <w:rPr>
          <w:rFonts w:ascii="黑体" w:eastAsia="黑体" w:hAnsi="黑体" w:cs="黑体" w:hint="eastAsia"/>
          <w:color w:val="000000"/>
          <w:szCs w:val="21"/>
        </w:rPr>
        <w:t>10.1  防虫</w:t>
      </w:r>
      <w:r w:rsidRPr="0000310C">
        <w:rPr>
          <w:rFonts w:ascii="黑体" w:eastAsia="黑体" w:hAnsi="黑体" w:cs="黑体"/>
          <w:color w:val="000000"/>
          <w:szCs w:val="21"/>
        </w:rPr>
        <w:t>措施</w:t>
      </w:r>
    </w:p>
    <w:p w:rsidR="00297B2B" w:rsidRPr="0000310C" w:rsidRDefault="00297B2B" w:rsidP="00297B2B">
      <w:pPr>
        <w:spacing w:line="360" w:lineRule="auto"/>
        <w:ind w:firstLineChars="200" w:firstLine="420"/>
        <w:rPr>
          <w:rFonts w:ascii="宋体" w:hAnsi="宋体" w:cs="宋体"/>
          <w:color w:val="000000"/>
          <w:szCs w:val="21"/>
        </w:rPr>
      </w:pPr>
      <w:r w:rsidRPr="0000310C">
        <w:rPr>
          <w:rFonts w:hint="eastAsia"/>
          <w:color w:val="000000"/>
          <w:szCs w:val="21"/>
        </w:rPr>
        <w:t>可</w:t>
      </w:r>
      <w:r w:rsidRPr="0000310C">
        <w:rPr>
          <w:color w:val="000000"/>
          <w:szCs w:val="21"/>
        </w:rPr>
        <w:t>采用日晒杀虫。选择晴朗无风的天气，上午</w:t>
      </w:r>
      <w:r w:rsidRPr="0000310C">
        <w:rPr>
          <w:color w:val="000000"/>
          <w:szCs w:val="21"/>
        </w:rPr>
        <w:t>9</w:t>
      </w:r>
      <w:r w:rsidRPr="0000310C">
        <w:rPr>
          <w:color w:val="000000"/>
          <w:szCs w:val="21"/>
        </w:rPr>
        <w:t>点钟以后，将小麦薄摊在晒场上进行</w:t>
      </w:r>
      <w:r w:rsidRPr="0000310C">
        <w:rPr>
          <w:rFonts w:hint="eastAsia"/>
          <w:color w:val="000000"/>
          <w:szCs w:val="21"/>
        </w:rPr>
        <w:t>晾晒</w:t>
      </w:r>
      <w:r w:rsidRPr="0000310C">
        <w:rPr>
          <w:color w:val="000000"/>
          <w:szCs w:val="21"/>
        </w:rPr>
        <w:t>，小麦厚度不超过</w:t>
      </w:r>
      <w:r w:rsidRPr="0000310C">
        <w:rPr>
          <w:color w:val="000000"/>
          <w:szCs w:val="21"/>
        </w:rPr>
        <w:t>10</w:t>
      </w:r>
      <w:r w:rsidRPr="0000310C">
        <w:rPr>
          <w:rFonts w:hint="eastAsia"/>
          <w:color w:val="000000"/>
          <w:szCs w:val="21"/>
        </w:rPr>
        <w:t xml:space="preserve"> cm</w:t>
      </w:r>
      <w:r w:rsidRPr="0000310C">
        <w:rPr>
          <w:color w:val="000000"/>
          <w:szCs w:val="21"/>
        </w:rPr>
        <w:t>，下午</w:t>
      </w:r>
      <w:r w:rsidRPr="0000310C">
        <w:rPr>
          <w:color w:val="000000"/>
          <w:szCs w:val="21"/>
        </w:rPr>
        <w:t>3</w:t>
      </w:r>
      <w:r w:rsidRPr="0000310C">
        <w:rPr>
          <w:color w:val="000000"/>
          <w:szCs w:val="21"/>
        </w:rPr>
        <w:t>点后将小麦收拢，热闷</w:t>
      </w:r>
      <w:r w:rsidRPr="0000310C">
        <w:rPr>
          <w:color w:val="000000"/>
          <w:szCs w:val="21"/>
        </w:rPr>
        <w:t>1</w:t>
      </w:r>
      <w:r w:rsidRPr="0000310C">
        <w:rPr>
          <w:rFonts w:hint="eastAsia"/>
          <w:color w:val="000000"/>
          <w:szCs w:val="21"/>
        </w:rPr>
        <w:t>～</w:t>
      </w:r>
      <w:r w:rsidRPr="0000310C">
        <w:rPr>
          <w:color w:val="000000"/>
          <w:szCs w:val="21"/>
        </w:rPr>
        <w:t>2</w:t>
      </w:r>
      <w:r w:rsidRPr="0000310C">
        <w:rPr>
          <w:rFonts w:hint="eastAsia"/>
          <w:color w:val="000000"/>
          <w:szCs w:val="21"/>
        </w:rPr>
        <w:t xml:space="preserve"> h</w:t>
      </w:r>
      <w:r w:rsidRPr="0000310C">
        <w:rPr>
          <w:rFonts w:hint="eastAsia"/>
          <w:color w:val="000000"/>
          <w:szCs w:val="21"/>
        </w:rPr>
        <w:t>后</w:t>
      </w:r>
      <w:r w:rsidRPr="0000310C">
        <w:rPr>
          <w:color w:val="000000"/>
          <w:szCs w:val="21"/>
        </w:rPr>
        <w:t>入仓。</w:t>
      </w:r>
    </w:p>
    <w:p w:rsidR="00297B2B" w:rsidRPr="0000310C" w:rsidRDefault="00297B2B" w:rsidP="00297B2B">
      <w:pPr>
        <w:spacing w:before="50" w:after="50" w:line="360" w:lineRule="auto"/>
        <w:rPr>
          <w:rFonts w:ascii="黑体" w:eastAsia="黑体" w:hAnsi="黑体" w:cs="黑体"/>
          <w:color w:val="000000"/>
          <w:szCs w:val="21"/>
        </w:rPr>
      </w:pPr>
      <w:r w:rsidRPr="0000310C">
        <w:rPr>
          <w:rFonts w:ascii="黑体" w:eastAsia="黑体" w:hAnsi="黑体" w:cs="黑体" w:hint="eastAsia"/>
          <w:color w:val="000000"/>
          <w:szCs w:val="21"/>
        </w:rPr>
        <w:t>10.2  防鼠措施</w:t>
      </w:r>
    </w:p>
    <w:p w:rsidR="00297B2B" w:rsidRPr="0000310C" w:rsidRDefault="00297B2B" w:rsidP="00297B2B">
      <w:pPr>
        <w:spacing w:line="360" w:lineRule="auto"/>
        <w:ind w:firstLineChars="200" w:firstLine="420"/>
        <w:rPr>
          <w:rFonts w:ascii="宋体" w:hAnsi="宋体" w:cs="宋体"/>
          <w:color w:val="000000"/>
          <w:szCs w:val="21"/>
        </w:rPr>
      </w:pPr>
      <w:r w:rsidRPr="0000310C">
        <w:rPr>
          <w:rFonts w:ascii="宋体" w:hAnsi="宋体" w:cs="宋体"/>
          <w:color w:val="000000"/>
          <w:szCs w:val="21"/>
        </w:rPr>
        <w:t>仓库的地基、墙壁、墙面、门窗、房顶和管道等，都做防鼠处理，所有的缝隙不超过1</w:t>
      </w:r>
      <w:r w:rsidRPr="0000310C">
        <w:rPr>
          <w:rFonts w:ascii="宋体" w:hAnsi="宋体" w:cs="宋体" w:hint="eastAsia"/>
          <w:color w:val="000000"/>
          <w:szCs w:val="21"/>
        </w:rPr>
        <w:t xml:space="preserve"> cm</w:t>
      </w:r>
      <w:r w:rsidRPr="0000310C">
        <w:rPr>
          <w:rFonts w:ascii="宋体" w:hAnsi="宋体" w:cs="宋体"/>
          <w:color w:val="000000"/>
          <w:szCs w:val="21"/>
        </w:rPr>
        <w:t>。仓库内保持整洁，各种用具杂物收拾整齐，储粮周围洒落的小麦清理干净，死角处经常检查，不使老鼠做窝。当老鼠大量发生时，选择</w:t>
      </w:r>
      <w:r w:rsidRPr="0000310C">
        <w:rPr>
          <w:rFonts w:ascii="宋体" w:hAnsi="宋体" w:cs="宋体" w:hint="eastAsia"/>
          <w:color w:val="000000"/>
          <w:szCs w:val="21"/>
        </w:rPr>
        <w:t>对人畜安全无害的方法进行灭鼠。</w:t>
      </w:r>
    </w:p>
    <w:p w:rsidR="00297B2B" w:rsidRPr="0000310C" w:rsidRDefault="00297B2B" w:rsidP="00297B2B">
      <w:pPr>
        <w:spacing w:line="360" w:lineRule="auto"/>
        <w:rPr>
          <w:rFonts w:ascii="Helvetica" w:hAnsi="Helvetica"/>
          <w:color w:val="000000"/>
          <w:szCs w:val="21"/>
        </w:rPr>
      </w:pPr>
      <w:r w:rsidRPr="0000310C">
        <w:rPr>
          <w:rFonts w:ascii="黑体" w:eastAsia="黑体" w:hAnsi="黑体" w:cs="黑体" w:hint="eastAsia"/>
          <w:color w:val="000000"/>
          <w:szCs w:val="21"/>
        </w:rPr>
        <w:t xml:space="preserve">10.3  </w:t>
      </w:r>
      <w:r w:rsidRPr="0000310C">
        <w:rPr>
          <w:rFonts w:ascii="黑体" w:eastAsia="黑体" w:hAnsi="黑体" w:cs="黑体"/>
          <w:color w:val="000000"/>
          <w:szCs w:val="21"/>
        </w:rPr>
        <w:t>防潮措施</w:t>
      </w:r>
    </w:p>
    <w:p w:rsidR="00B3658F" w:rsidRPr="00297B2B" w:rsidRDefault="00297B2B" w:rsidP="00297B2B">
      <w:pPr>
        <w:spacing w:line="360" w:lineRule="auto"/>
        <w:ind w:firstLineChars="200" w:firstLine="420"/>
        <w:rPr>
          <w:szCs w:val="21"/>
        </w:rPr>
      </w:pPr>
      <w:r w:rsidRPr="0000310C">
        <w:rPr>
          <w:rFonts w:ascii="宋体" w:hAnsi="宋体" w:cs="宋体"/>
          <w:color w:val="000000"/>
          <w:szCs w:val="21"/>
        </w:rPr>
        <w:t>加强仓间管理</w:t>
      </w:r>
      <w:r w:rsidRPr="0000310C">
        <w:rPr>
          <w:rFonts w:ascii="宋体" w:hAnsi="宋体" w:cs="宋体" w:hint="eastAsia"/>
          <w:color w:val="000000"/>
          <w:szCs w:val="21"/>
        </w:rPr>
        <w:t>，</w:t>
      </w:r>
      <w:r w:rsidRPr="0000310C">
        <w:rPr>
          <w:rFonts w:ascii="宋体" w:hAnsi="宋体" w:cs="宋体"/>
          <w:color w:val="000000"/>
          <w:szCs w:val="21"/>
        </w:rPr>
        <w:t>经常翻动，</w:t>
      </w:r>
      <w:r w:rsidRPr="0000310C">
        <w:rPr>
          <w:rFonts w:ascii="宋体" w:hAnsi="宋体" w:cs="宋体" w:hint="eastAsia"/>
          <w:color w:val="000000"/>
          <w:szCs w:val="21"/>
        </w:rPr>
        <w:t>自然通风</w:t>
      </w:r>
      <w:r w:rsidRPr="0000310C">
        <w:rPr>
          <w:rFonts w:ascii="宋体" w:hAnsi="宋体" w:cs="宋体"/>
          <w:color w:val="000000"/>
          <w:szCs w:val="21"/>
        </w:rPr>
        <w:t>，必要时采取机械通风，确保小麦</w:t>
      </w:r>
      <w:r w:rsidRPr="0000310C">
        <w:rPr>
          <w:rFonts w:ascii="宋体" w:hAnsi="宋体" w:cs="宋体" w:hint="eastAsia"/>
          <w:color w:val="000000"/>
          <w:szCs w:val="21"/>
        </w:rPr>
        <w:t>处于低温干燥环境</w:t>
      </w:r>
      <w:r w:rsidRPr="0000310C">
        <w:rPr>
          <w:rFonts w:ascii="宋体" w:hAnsi="宋体" w:cs="宋体"/>
          <w:color w:val="000000"/>
          <w:szCs w:val="21"/>
        </w:rPr>
        <w:t>。</w:t>
      </w:r>
    </w:p>
    <w:p w:rsidR="00B3658F" w:rsidRDefault="00D31C03">
      <w:pPr>
        <w:pStyle w:val="a1"/>
        <w:numPr>
          <w:ilvl w:val="0"/>
          <w:numId w:val="0"/>
        </w:numPr>
        <w:spacing w:beforeLines="0" w:afterLines="0" w:line="360" w:lineRule="auto"/>
        <w:rPr>
          <w:rFonts w:hAnsi="黑体" w:cs="黑体"/>
        </w:rPr>
      </w:pPr>
      <w:r>
        <w:rPr>
          <w:rFonts w:hAnsi="黑体" w:cs="黑体" w:hint="eastAsia"/>
        </w:rPr>
        <w:t>11  生产记录档案</w:t>
      </w:r>
    </w:p>
    <w:p w:rsidR="00B3658F" w:rsidRDefault="00D31C03" w:rsidP="00F0403F">
      <w:pPr>
        <w:pStyle w:val="af"/>
        <w:tabs>
          <w:tab w:val="center" w:pos="4201"/>
          <w:tab w:val="right" w:leader="dot" w:pos="9298"/>
        </w:tabs>
        <w:spacing w:line="360" w:lineRule="auto"/>
        <w:ind w:firstLine="420"/>
      </w:pPr>
      <w:r>
        <w:rPr>
          <w:rFonts w:hint="eastAsia"/>
        </w:rPr>
        <w:t>生产全过程，要建立生产记录档案，包括：地块档案和整地、播种、铲趟、灌溉情况、施肥情况、病虫草害防治、采收等记录。生产记录档案保存期限不少于</w:t>
      </w:r>
      <w:r>
        <w:t> </w:t>
      </w:r>
      <w:r>
        <w:rPr>
          <w:rFonts w:hint="eastAsia"/>
        </w:rPr>
        <w:t>3年。</w:t>
      </w:r>
    </w:p>
    <w:p w:rsidR="000C344C" w:rsidRDefault="000C344C" w:rsidP="00F0403F">
      <w:pPr>
        <w:pStyle w:val="af"/>
        <w:tabs>
          <w:tab w:val="center" w:pos="4201"/>
          <w:tab w:val="right" w:leader="dot" w:pos="9298"/>
        </w:tabs>
        <w:spacing w:line="360" w:lineRule="auto"/>
        <w:ind w:firstLine="420"/>
      </w:pPr>
    </w:p>
    <w:p w:rsidR="00297B2B" w:rsidRPr="0000310C" w:rsidRDefault="00297B2B" w:rsidP="00297B2B">
      <w:pPr>
        <w:pStyle w:val="a"/>
        <w:rPr>
          <w:rFonts w:hAnsi="黑体" w:cs="黑体"/>
          <w:color w:val="000000"/>
          <w:szCs w:val="21"/>
        </w:rPr>
      </w:pPr>
      <w:r>
        <w:rPr>
          <w:rFonts w:hAnsi="宋体" w:cs="宋体"/>
          <w:szCs w:val="21"/>
        </w:rPr>
        <w:br w:type="page"/>
      </w:r>
      <w:r w:rsidRPr="0000310C">
        <w:rPr>
          <w:rFonts w:hAnsi="黑体" w:cs="黑体" w:hint="eastAsia"/>
          <w:color w:val="000000"/>
          <w:szCs w:val="21"/>
        </w:rPr>
        <w:lastRenderedPageBreak/>
        <w:br/>
        <w:t>（资料性附录）</w:t>
      </w:r>
      <w:r w:rsidRPr="0000310C">
        <w:rPr>
          <w:rFonts w:hAnsi="黑体" w:cs="黑体" w:hint="eastAsia"/>
          <w:color w:val="000000"/>
          <w:szCs w:val="21"/>
        </w:rPr>
        <w:br/>
        <w:t>东北地区</w:t>
      </w:r>
      <w:r w:rsidR="004A3CB2">
        <w:rPr>
          <w:rFonts w:hAnsi="黑体" w:cs="黑体" w:hint="eastAsia"/>
          <w:color w:val="000000"/>
          <w:szCs w:val="21"/>
        </w:rPr>
        <w:t xml:space="preserve">  </w:t>
      </w:r>
      <w:r w:rsidRPr="0000310C">
        <w:rPr>
          <w:rFonts w:hAnsi="黑体" w:cs="黑体" w:hint="eastAsia"/>
          <w:color w:val="000000"/>
          <w:szCs w:val="21"/>
        </w:rPr>
        <w:t>绿色食品</w:t>
      </w:r>
      <w:r>
        <w:rPr>
          <w:rFonts w:hAnsi="黑体" w:cs="黑体" w:hint="eastAsia"/>
          <w:color w:val="000000"/>
          <w:szCs w:val="21"/>
        </w:rPr>
        <w:t>春</w:t>
      </w:r>
      <w:r w:rsidRPr="0000310C">
        <w:rPr>
          <w:rFonts w:hAnsi="黑体" w:cs="黑体" w:hint="eastAsia"/>
          <w:color w:val="000000"/>
          <w:szCs w:val="21"/>
        </w:rPr>
        <w:t>小麦生产主要病虫草害化学防治方案</w:t>
      </w:r>
    </w:p>
    <w:tbl>
      <w:tblPr>
        <w:tblpPr w:leftFromText="180" w:rightFromText="180" w:vertAnchor="text" w:horzAnchor="page" w:tblpXSpec="center" w:tblpY="669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276"/>
        <w:gridCol w:w="2126"/>
        <w:gridCol w:w="2268"/>
        <w:gridCol w:w="1134"/>
        <w:gridCol w:w="1276"/>
      </w:tblGrid>
      <w:tr w:rsidR="00297B2B" w:rsidRPr="0000310C" w:rsidTr="00760AD1">
        <w:trPr>
          <w:trHeight w:val="824"/>
        </w:trPr>
        <w:tc>
          <w:tcPr>
            <w:tcW w:w="138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12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2268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使用剂量</w:t>
            </w:r>
          </w:p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ml(g)/</w:t>
            </w:r>
            <w:r w:rsidRPr="0000310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安全间隔期天数</w:t>
            </w:r>
          </w:p>
        </w:tc>
      </w:tr>
      <w:tr w:rsidR="00297B2B" w:rsidRPr="0000310C" w:rsidTr="00760AD1">
        <w:trPr>
          <w:trHeight w:val="712"/>
        </w:trPr>
        <w:tc>
          <w:tcPr>
            <w:tcW w:w="1384" w:type="dxa"/>
            <w:vAlign w:val="center"/>
          </w:tcPr>
          <w:p w:rsidR="00297B2B" w:rsidRPr="0000310C" w:rsidRDefault="00297B2B" w:rsidP="00760AD1">
            <w:pPr>
              <w:spacing w:before="50" w:after="50"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赤霉病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齐穗至盛花期</w:t>
            </w:r>
          </w:p>
        </w:tc>
        <w:tc>
          <w:tcPr>
            <w:tcW w:w="212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50%多菌灵</w:t>
            </w:r>
            <w:r w:rsidRPr="00297B2B">
              <w:rPr>
                <w:rFonts w:ascii="宋体" w:hAnsi="宋体" w:cs="宋体" w:hint="eastAsia"/>
                <w:color w:val="000000"/>
                <w:sz w:val="18"/>
                <w:szCs w:val="18"/>
              </w:rPr>
              <w:t>可湿性粉</w:t>
            </w: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剂</w:t>
            </w:r>
          </w:p>
        </w:tc>
        <w:tc>
          <w:tcPr>
            <w:tcW w:w="2268" w:type="dxa"/>
            <w:vAlign w:val="center"/>
          </w:tcPr>
          <w:p w:rsidR="00297B2B" w:rsidRPr="0000310C" w:rsidRDefault="004A3CB2" w:rsidP="004A3CB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</w:t>
            </w:r>
            <w:r w:rsidR="00297B2B">
              <w:rPr>
                <w:rFonts w:ascii="宋体" w:hAnsi="宋体" w:cs="宋体" w:hint="eastAsia"/>
                <w:color w:val="000000"/>
                <w:sz w:val="18"/>
                <w:szCs w:val="18"/>
              </w:rPr>
              <w:t>g</w:t>
            </w:r>
            <w:r w:rsidR="00297B2B" w:rsidRPr="0000310C">
              <w:rPr>
                <w:rFonts w:ascii="宋体" w:hAnsi="宋体" w:hint="eastAsia"/>
                <w:color w:val="000000"/>
                <w:sz w:val="18"/>
                <w:szCs w:val="18"/>
              </w:rPr>
              <w:t>～</w:t>
            </w:r>
            <w:r w:rsidR="00297B2B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 w:rsidR="00297B2B"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50 g</w:t>
            </w:r>
          </w:p>
        </w:tc>
        <w:tc>
          <w:tcPr>
            <w:tcW w:w="113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297B2B" w:rsidRPr="0000310C" w:rsidTr="00760AD1">
        <w:trPr>
          <w:trHeight w:val="732"/>
        </w:trPr>
        <w:tc>
          <w:tcPr>
            <w:tcW w:w="138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白粉病、锈病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12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</w:t>
            </w: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%</w:t>
            </w:r>
            <w:hyperlink r:id="rId8" w:tgtFrame="_blank" w:history="1">
              <w:r w:rsidRPr="0000310C">
                <w:rPr>
                  <w:rFonts w:ascii="宋体" w:hAnsi="宋体" w:cs="宋体" w:hint="eastAsia"/>
                  <w:color w:val="000000"/>
                  <w:sz w:val="18"/>
                  <w:szCs w:val="18"/>
                </w:rPr>
                <w:t>三唑酮</w:t>
              </w:r>
            </w:hyperlink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可湿性粉剂</w:t>
            </w:r>
          </w:p>
        </w:tc>
        <w:tc>
          <w:tcPr>
            <w:tcW w:w="2268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</w:t>
            </w: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g</w:t>
            </w:r>
            <w:r w:rsidRPr="0000310C">
              <w:rPr>
                <w:rFonts w:ascii="宋体" w:hAnsi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</w:t>
            </w:r>
            <w:r w:rsidRPr="0000310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0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g</w:t>
            </w:r>
          </w:p>
        </w:tc>
        <w:tc>
          <w:tcPr>
            <w:tcW w:w="113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喷雾1</w:t>
            </w: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297B2B" w:rsidRPr="0000310C" w:rsidTr="00760AD1">
        <w:trPr>
          <w:trHeight w:val="732"/>
        </w:trPr>
        <w:tc>
          <w:tcPr>
            <w:tcW w:w="1384" w:type="dxa"/>
            <w:vAlign w:val="center"/>
          </w:tcPr>
          <w:p w:rsidR="00297B2B" w:rsidRPr="0000310C" w:rsidRDefault="00297B2B" w:rsidP="00760AD1">
            <w:pPr>
              <w:spacing w:before="50" w:after="50" w:line="360" w:lineRule="auto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0310C">
              <w:rPr>
                <w:rFonts w:ascii="宋体" w:hAnsi="宋体" w:hint="eastAsia"/>
                <w:color w:val="000000"/>
                <w:sz w:val="18"/>
                <w:szCs w:val="18"/>
              </w:rPr>
              <w:t>蚜虫、麦秆蝇、粘虫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126" w:type="dxa"/>
            <w:vAlign w:val="center"/>
          </w:tcPr>
          <w:p w:rsidR="00297B2B" w:rsidRPr="0000310C" w:rsidRDefault="007B6CE0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1.5</w:t>
            </w:r>
            <w:r w:rsidR="00297B2B" w:rsidRPr="0000310C">
              <w:rPr>
                <w:rFonts w:ascii="宋体" w:hAnsi="宋体"/>
                <w:color w:val="000000"/>
                <w:sz w:val="18"/>
                <w:szCs w:val="18"/>
              </w:rPr>
              <w:t>%</w:t>
            </w:r>
            <w:r w:rsidR="00297B2B" w:rsidRPr="0000310C">
              <w:rPr>
                <w:rFonts w:ascii="宋体" w:hAnsi="宋体" w:hint="eastAsia"/>
                <w:color w:val="000000"/>
                <w:sz w:val="18"/>
                <w:szCs w:val="18"/>
              </w:rPr>
              <w:t>苦参碱</w:t>
            </w:r>
            <w:r w:rsidRPr="007B6CE0">
              <w:rPr>
                <w:rFonts w:ascii="宋体" w:hAnsi="宋体" w:hint="eastAsia"/>
                <w:color w:val="000000"/>
                <w:sz w:val="18"/>
                <w:szCs w:val="18"/>
              </w:rPr>
              <w:t>可溶液剂</w:t>
            </w:r>
          </w:p>
        </w:tc>
        <w:tc>
          <w:tcPr>
            <w:tcW w:w="2268" w:type="dxa"/>
            <w:vAlign w:val="center"/>
          </w:tcPr>
          <w:p w:rsidR="00297B2B" w:rsidRPr="0000310C" w:rsidRDefault="007B6CE0" w:rsidP="007B6CE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30</w:t>
            </w:r>
            <w:r w:rsidR="00297B2B" w:rsidRPr="0000310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="00297B2B" w:rsidRPr="0000310C">
              <w:rPr>
                <w:rFonts w:ascii="宋体" w:hAnsi="宋体"/>
                <w:color w:val="000000"/>
                <w:sz w:val="18"/>
                <w:szCs w:val="18"/>
              </w:rPr>
              <w:t>ml</w:t>
            </w:r>
            <w:r w:rsidR="00297B2B" w:rsidRPr="0000310C">
              <w:rPr>
                <w:rFonts w:ascii="宋体" w:hAnsi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40</w:t>
            </w:r>
            <w:r w:rsidR="00297B2B" w:rsidRPr="0000310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="00297B2B" w:rsidRPr="0000310C">
              <w:rPr>
                <w:rFonts w:ascii="宋体" w:hAnsi="宋体"/>
                <w:color w:val="000000"/>
                <w:sz w:val="18"/>
                <w:szCs w:val="18"/>
              </w:rPr>
              <w:t>ml</w:t>
            </w:r>
          </w:p>
        </w:tc>
        <w:tc>
          <w:tcPr>
            <w:tcW w:w="113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297B2B" w:rsidRPr="0000310C" w:rsidTr="00760AD1">
        <w:trPr>
          <w:trHeight w:val="732"/>
        </w:trPr>
        <w:tc>
          <w:tcPr>
            <w:tcW w:w="138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禾本科杂草</w:t>
            </w:r>
          </w:p>
        </w:tc>
        <w:tc>
          <w:tcPr>
            <w:tcW w:w="1276" w:type="dxa"/>
            <w:vAlign w:val="center"/>
          </w:tcPr>
          <w:p w:rsidR="00297B2B" w:rsidRPr="00297B2B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97B2B">
              <w:rPr>
                <w:rFonts w:ascii="宋体" w:hAnsi="宋体"/>
                <w:color w:val="333333"/>
                <w:sz w:val="18"/>
                <w:szCs w:val="18"/>
                <w:shd w:val="clear" w:color="auto" w:fill="FFFFFF"/>
              </w:rPr>
              <w:t>小麦3-5叶期，禾本科杂草2-3叶期</w:t>
            </w:r>
          </w:p>
        </w:tc>
        <w:tc>
          <w:tcPr>
            <w:tcW w:w="212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36%的禾草灵乳油</w:t>
            </w:r>
          </w:p>
        </w:tc>
        <w:tc>
          <w:tcPr>
            <w:tcW w:w="2268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0 ml～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</w:t>
            </w: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ml</w:t>
            </w:r>
          </w:p>
        </w:tc>
        <w:tc>
          <w:tcPr>
            <w:tcW w:w="113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每季最多1次</w:t>
            </w:r>
          </w:p>
        </w:tc>
      </w:tr>
      <w:tr w:rsidR="00297B2B" w:rsidRPr="0000310C" w:rsidTr="00760AD1">
        <w:trPr>
          <w:trHeight w:val="732"/>
        </w:trPr>
        <w:tc>
          <w:tcPr>
            <w:tcW w:w="138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>阔叶杂草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杂草</w:t>
            </w:r>
            <w:r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2-3</w:t>
            </w:r>
            <w:r w:rsidR="00531B01">
              <w:rPr>
                <w:rFonts w:ascii="Helvetica" w:hAnsi="Helvetica" w:hint="eastAsia"/>
                <w:color w:val="333333"/>
                <w:sz w:val="18"/>
                <w:szCs w:val="18"/>
                <w:shd w:val="clear" w:color="auto" w:fill="FFFFFF"/>
              </w:rPr>
              <w:t>叶</w:t>
            </w:r>
            <w:r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期</w:t>
            </w:r>
          </w:p>
        </w:tc>
        <w:tc>
          <w:tcPr>
            <w:tcW w:w="2126" w:type="dxa"/>
            <w:vAlign w:val="center"/>
          </w:tcPr>
          <w:p w:rsidR="00297B2B" w:rsidRPr="00297B2B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97B2B">
              <w:rPr>
                <w:rFonts w:ascii="宋体" w:hAnsi="宋体" w:hint="eastAsia"/>
                <w:bCs/>
                <w:color w:val="000000"/>
                <w:sz w:val="18"/>
                <w:szCs w:val="18"/>
                <w:shd w:val="clear" w:color="auto" w:fill="FFFFFF"/>
              </w:rPr>
              <w:t>40%唑草酮</w:t>
            </w:r>
            <w:r w:rsidRPr="00297B2B">
              <w:rPr>
                <w:rFonts w:ascii="宋体" w:hAnsi="宋体"/>
                <w:bCs/>
                <w:color w:val="000000"/>
                <w:sz w:val="18"/>
                <w:szCs w:val="18"/>
                <w:shd w:val="clear" w:color="auto" w:fill="FFFFFF"/>
              </w:rPr>
              <w:t>水分散粒剂</w:t>
            </w:r>
          </w:p>
        </w:tc>
        <w:tc>
          <w:tcPr>
            <w:tcW w:w="2268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g～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  <w:r w:rsidRPr="0000310C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g</w:t>
            </w:r>
          </w:p>
        </w:tc>
        <w:tc>
          <w:tcPr>
            <w:tcW w:w="1134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每季最多1次</w:t>
            </w:r>
          </w:p>
        </w:tc>
      </w:tr>
      <w:tr w:rsidR="00297B2B" w:rsidRPr="0000310C" w:rsidTr="00760AD1">
        <w:trPr>
          <w:trHeight w:val="732"/>
        </w:trPr>
        <w:tc>
          <w:tcPr>
            <w:tcW w:w="9464" w:type="dxa"/>
            <w:gridSpan w:val="6"/>
            <w:vAlign w:val="center"/>
          </w:tcPr>
          <w:p w:rsidR="00297B2B" w:rsidRPr="0000310C" w:rsidRDefault="00297B2B" w:rsidP="00760AD1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0310C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注：</w:t>
            </w:r>
            <w:r w:rsidRPr="0000310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农药使用以最新版本NY/T393的规定为准。</w:t>
            </w:r>
          </w:p>
        </w:tc>
      </w:tr>
    </w:tbl>
    <w:p w:rsidR="00AE2510" w:rsidRDefault="00AE2510" w:rsidP="00297B2B">
      <w:pPr>
        <w:rPr>
          <w:rFonts w:hAnsi="宋体" w:cs="宋体"/>
          <w:color w:val="000000"/>
          <w:szCs w:val="21"/>
        </w:rPr>
      </w:pPr>
    </w:p>
    <w:p w:rsidR="00AE2510" w:rsidRDefault="00AE2510" w:rsidP="00297B2B">
      <w:pPr>
        <w:rPr>
          <w:rFonts w:hAnsi="宋体" w:cs="宋体"/>
          <w:color w:val="000000"/>
          <w:szCs w:val="21"/>
        </w:rPr>
      </w:pPr>
    </w:p>
    <w:p w:rsidR="00AE2510" w:rsidRDefault="00AE2510" w:rsidP="00297B2B">
      <w:pPr>
        <w:rPr>
          <w:rFonts w:hAnsi="宋体" w:cs="宋体"/>
          <w:color w:val="000000"/>
          <w:szCs w:val="21"/>
        </w:rPr>
      </w:pPr>
    </w:p>
    <w:p w:rsidR="00AE2510" w:rsidRDefault="00AE2510" w:rsidP="00297B2B">
      <w:pPr>
        <w:rPr>
          <w:rFonts w:hAnsi="宋体" w:cs="宋体"/>
          <w:color w:val="000000"/>
          <w:szCs w:val="21"/>
        </w:rPr>
      </w:pPr>
    </w:p>
    <w:p w:rsidR="00AE2510" w:rsidRDefault="00AE2510" w:rsidP="00297B2B">
      <w:pPr>
        <w:rPr>
          <w:rFonts w:hAnsi="宋体" w:cs="宋体"/>
          <w:color w:val="000000"/>
          <w:szCs w:val="21"/>
        </w:rPr>
      </w:pPr>
    </w:p>
    <w:p w:rsidR="00AE2510" w:rsidRDefault="00AE2510" w:rsidP="00297B2B">
      <w:pPr>
        <w:rPr>
          <w:rFonts w:hAnsi="宋体" w:cs="宋体"/>
          <w:color w:val="000000"/>
          <w:szCs w:val="21"/>
        </w:rPr>
      </w:pPr>
    </w:p>
    <w:p w:rsidR="00AE2510" w:rsidRDefault="00AE2510" w:rsidP="00297B2B">
      <w:pPr>
        <w:rPr>
          <w:rFonts w:hAnsi="宋体" w:cs="宋体"/>
          <w:color w:val="000000"/>
          <w:szCs w:val="21"/>
        </w:rPr>
      </w:pPr>
    </w:p>
    <w:p w:rsidR="00AE2510" w:rsidRDefault="00AE2510" w:rsidP="00297B2B">
      <w:pPr>
        <w:rPr>
          <w:rFonts w:hAnsi="宋体" w:cs="宋体"/>
          <w:color w:val="000000"/>
          <w:szCs w:val="21"/>
        </w:rPr>
      </w:pPr>
    </w:p>
    <w:p w:rsidR="00A73B3D" w:rsidRDefault="00A73B3D" w:rsidP="00A73B3D">
      <w:pPr>
        <w:rPr>
          <w:rFonts w:hAnsi="宋体" w:cs="宋体"/>
          <w:color w:val="000000"/>
          <w:szCs w:val="21"/>
        </w:rPr>
      </w:pPr>
    </w:p>
    <w:p w:rsidR="007144C9" w:rsidRDefault="007144C9">
      <w:pPr>
        <w:rPr>
          <w:rFonts w:hAnsi="宋体" w:cs="宋体"/>
          <w:szCs w:val="21"/>
        </w:rPr>
      </w:pPr>
    </w:p>
    <w:sectPr w:rsidR="007144C9" w:rsidSect="00B3658F">
      <w:footerReference w:type="default" r:id="rId9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4C9" w:rsidRDefault="007144C9" w:rsidP="00B3658F">
      <w:r>
        <w:separator/>
      </w:r>
    </w:p>
  </w:endnote>
  <w:endnote w:type="continuationSeparator" w:id="1">
    <w:p w:rsidR="007144C9" w:rsidRDefault="007144C9" w:rsidP="00B36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58F" w:rsidRDefault="002D74DF">
    <w:pPr>
      <w:pStyle w:val="ac"/>
      <w:jc w:val="center"/>
    </w:pPr>
    <w:r w:rsidRPr="002D74DF">
      <w:fldChar w:fldCharType="begin"/>
    </w:r>
    <w:r w:rsidR="00D31C03">
      <w:instrText xml:space="preserve"> PAGE   \* MERGEFORMAT </w:instrText>
    </w:r>
    <w:r w:rsidRPr="002D74DF">
      <w:fldChar w:fldCharType="separate"/>
    </w:r>
    <w:r w:rsidR="003C0DF3" w:rsidRPr="003C0DF3">
      <w:rPr>
        <w:noProof/>
        <w:lang w:val="zh-CN"/>
      </w:rPr>
      <w:t>1</w:t>
    </w:r>
    <w:r>
      <w:rPr>
        <w:lang w:val="zh-CN"/>
      </w:rPr>
      <w:fldChar w:fldCharType="end"/>
    </w:r>
  </w:p>
  <w:p w:rsidR="00B3658F" w:rsidRDefault="00B3658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4C9" w:rsidRDefault="007144C9" w:rsidP="00B3658F">
      <w:r>
        <w:separator/>
      </w:r>
    </w:p>
  </w:footnote>
  <w:footnote w:type="continuationSeparator" w:id="1">
    <w:p w:rsidR="007144C9" w:rsidRDefault="007144C9" w:rsidP="00B365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D3FBC"/>
    <w:multiLevelType w:val="multilevel"/>
    <w:tmpl w:val="5E9C0936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  <w:lang w:val="en-US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>
      <w:start w:val="1"/>
      <w:numFmt w:val="none"/>
      <w:pStyle w:val="a0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1"/>
      <w:suff w:val="nothing"/>
      <w:lvlText w:val="%1%2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2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6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569"/>
    <w:rsid w:val="00010732"/>
    <w:rsid w:val="00013678"/>
    <w:rsid w:val="00026CFF"/>
    <w:rsid w:val="00044DDC"/>
    <w:rsid w:val="000912A6"/>
    <w:rsid w:val="000C344C"/>
    <w:rsid w:val="00107228"/>
    <w:rsid w:val="001350A6"/>
    <w:rsid w:val="00156A6E"/>
    <w:rsid w:val="0018214E"/>
    <w:rsid w:val="002364FD"/>
    <w:rsid w:val="00265CB2"/>
    <w:rsid w:val="00297B2B"/>
    <w:rsid w:val="002A59EA"/>
    <w:rsid w:val="002C70E1"/>
    <w:rsid w:val="002D230A"/>
    <w:rsid w:val="002D74DF"/>
    <w:rsid w:val="002E4E62"/>
    <w:rsid w:val="00332C9E"/>
    <w:rsid w:val="003575BB"/>
    <w:rsid w:val="00385550"/>
    <w:rsid w:val="003B29A8"/>
    <w:rsid w:val="003C0DF3"/>
    <w:rsid w:val="003C14B7"/>
    <w:rsid w:val="003D52BA"/>
    <w:rsid w:val="003D5B48"/>
    <w:rsid w:val="003E27B1"/>
    <w:rsid w:val="003F2593"/>
    <w:rsid w:val="003F7725"/>
    <w:rsid w:val="00401E3E"/>
    <w:rsid w:val="00414262"/>
    <w:rsid w:val="00462511"/>
    <w:rsid w:val="004705A6"/>
    <w:rsid w:val="004730DB"/>
    <w:rsid w:val="00477DB8"/>
    <w:rsid w:val="0049062B"/>
    <w:rsid w:val="004A0B96"/>
    <w:rsid w:val="004A3CB2"/>
    <w:rsid w:val="004D2177"/>
    <w:rsid w:val="004E06BA"/>
    <w:rsid w:val="004F4823"/>
    <w:rsid w:val="00500820"/>
    <w:rsid w:val="00506037"/>
    <w:rsid w:val="0050615B"/>
    <w:rsid w:val="00531B01"/>
    <w:rsid w:val="00584772"/>
    <w:rsid w:val="005C5D32"/>
    <w:rsid w:val="005D0D1F"/>
    <w:rsid w:val="005D13F2"/>
    <w:rsid w:val="005E414C"/>
    <w:rsid w:val="005E77E1"/>
    <w:rsid w:val="005F0E95"/>
    <w:rsid w:val="00605993"/>
    <w:rsid w:val="00626275"/>
    <w:rsid w:val="00653EC5"/>
    <w:rsid w:val="0067580F"/>
    <w:rsid w:val="00680EE3"/>
    <w:rsid w:val="006A62D6"/>
    <w:rsid w:val="006B2782"/>
    <w:rsid w:val="006D23A7"/>
    <w:rsid w:val="006D4D87"/>
    <w:rsid w:val="006D6229"/>
    <w:rsid w:val="006F7A30"/>
    <w:rsid w:val="007127D3"/>
    <w:rsid w:val="007144C9"/>
    <w:rsid w:val="00724469"/>
    <w:rsid w:val="00740F90"/>
    <w:rsid w:val="00742991"/>
    <w:rsid w:val="00772E70"/>
    <w:rsid w:val="00790A83"/>
    <w:rsid w:val="007A0394"/>
    <w:rsid w:val="007A2DC6"/>
    <w:rsid w:val="007B0328"/>
    <w:rsid w:val="007B6CE0"/>
    <w:rsid w:val="007C2841"/>
    <w:rsid w:val="007E73BF"/>
    <w:rsid w:val="00813E69"/>
    <w:rsid w:val="00813F81"/>
    <w:rsid w:val="008358FA"/>
    <w:rsid w:val="00843040"/>
    <w:rsid w:val="00882213"/>
    <w:rsid w:val="008C1935"/>
    <w:rsid w:val="008D40C3"/>
    <w:rsid w:val="008D7985"/>
    <w:rsid w:val="008F2529"/>
    <w:rsid w:val="008F768B"/>
    <w:rsid w:val="00943092"/>
    <w:rsid w:val="009454DE"/>
    <w:rsid w:val="00966BE1"/>
    <w:rsid w:val="0097703D"/>
    <w:rsid w:val="009A21EE"/>
    <w:rsid w:val="009B4EA7"/>
    <w:rsid w:val="00A0613B"/>
    <w:rsid w:val="00A27694"/>
    <w:rsid w:val="00A464B4"/>
    <w:rsid w:val="00A65CCB"/>
    <w:rsid w:val="00A66DE1"/>
    <w:rsid w:val="00A73B3D"/>
    <w:rsid w:val="00A844CC"/>
    <w:rsid w:val="00AB7498"/>
    <w:rsid w:val="00AC4A31"/>
    <w:rsid w:val="00AE2510"/>
    <w:rsid w:val="00AF5EF2"/>
    <w:rsid w:val="00B22A1F"/>
    <w:rsid w:val="00B3658F"/>
    <w:rsid w:val="00B627DA"/>
    <w:rsid w:val="00B67E48"/>
    <w:rsid w:val="00BD0218"/>
    <w:rsid w:val="00BF1412"/>
    <w:rsid w:val="00C53280"/>
    <w:rsid w:val="00C5555E"/>
    <w:rsid w:val="00C710CA"/>
    <w:rsid w:val="00C7314E"/>
    <w:rsid w:val="00CB44FA"/>
    <w:rsid w:val="00CB60B4"/>
    <w:rsid w:val="00D236CE"/>
    <w:rsid w:val="00D31C03"/>
    <w:rsid w:val="00D42811"/>
    <w:rsid w:val="00D43966"/>
    <w:rsid w:val="00D75E8C"/>
    <w:rsid w:val="00DC237E"/>
    <w:rsid w:val="00DD4631"/>
    <w:rsid w:val="00E01612"/>
    <w:rsid w:val="00E31FF5"/>
    <w:rsid w:val="00E33F30"/>
    <w:rsid w:val="00E35F5C"/>
    <w:rsid w:val="00E3780B"/>
    <w:rsid w:val="00E61F9B"/>
    <w:rsid w:val="00E77DA1"/>
    <w:rsid w:val="00EC6BC2"/>
    <w:rsid w:val="00ED40E6"/>
    <w:rsid w:val="00ED5EC2"/>
    <w:rsid w:val="00F0403F"/>
    <w:rsid w:val="00F659DC"/>
    <w:rsid w:val="00FA00F8"/>
    <w:rsid w:val="00FD0119"/>
    <w:rsid w:val="00FE798F"/>
    <w:rsid w:val="00FF2569"/>
    <w:rsid w:val="017941A9"/>
    <w:rsid w:val="10D6540D"/>
    <w:rsid w:val="542E18CC"/>
    <w:rsid w:val="5C7257FC"/>
    <w:rsid w:val="5DF2299C"/>
    <w:rsid w:val="69670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 fillcolor="white">
      <v:fill color="white"/>
    </o:shapedefaults>
    <o:shapelayout v:ext="edit">
      <o:idmap v:ext="edit" data="1"/>
      <o:rules v:ext="edit">
        <o:r id="V:Rule3" type="connector" idref="#直接箭头连接符 1"/>
        <o:r id="V:Rule4" type="connector" idref="#直接箭头连接符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/>
    <w:lsdException w:name="Hyperlink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B3658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7"/>
    <w:next w:val="a7"/>
    <w:link w:val="1Char"/>
    <w:uiPriority w:val="99"/>
    <w:qFormat/>
    <w:rsid w:val="00B3658F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Date"/>
    <w:basedOn w:val="a7"/>
    <w:next w:val="a7"/>
    <w:link w:val="Char"/>
    <w:uiPriority w:val="99"/>
    <w:semiHidden/>
    <w:rsid w:val="00B3658F"/>
    <w:pPr>
      <w:ind w:leftChars="2500" w:left="100"/>
    </w:pPr>
    <w:rPr>
      <w:kern w:val="0"/>
      <w:sz w:val="24"/>
    </w:rPr>
  </w:style>
  <w:style w:type="paragraph" w:styleId="ac">
    <w:name w:val="footer"/>
    <w:basedOn w:val="a7"/>
    <w:link w:val="Char0"/>
    <w:uiPriority w:val="99"/>
    <w:qFormat/>
    <w:rsid w:val="00B3658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d">
    <w:name w:val="header"/>
    <w:basedOn w:val="a7"/>
    <w:link w:val="Char1"/>
    <w:uiPriority w:val="99"/>
    <w:qFormat/>
    <w:rsid w:val="00B36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styleId="ae">
    <w:name w:val="Hyperlink"/>
    <w:uiPriority w:val="99"/>
    <w:semiHidden/>
    <w:qFormat/>
    <w:rsid w:val="00B3658F"/>
    <w:rPr>
      <w:rFonts w:cs="Times New Roman"/>
      <w:color w:val="0000FF"/>
      <w:u w:val="single"/>
    </w:rPr>
  </w:style>
  <w:style w:type="character" w:customStyle="1" w:styleId="1Char">
    <w:name w:val="标题 1 Char"/>
    <w:link w:val="1"/>
    <w:uiPriority w:val="99"/>
    <w:qFormat/>
    <w:locked/>
    <w:rsid w:val="00B3658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1">
    <w:name w:val="页眉 Char"/>
    <w:link w:val="ad"/>
    <w:uiPriority w:val="99"/>
    <w:qFormat/>
    <w:locked/>
    <w:rsid w:val="00B3658F"/>
    <w:rPr>
      <w:rFonts w:cs="Times New Roman"/>
      <w:sz w:val="18"/>
      <w:szCs w:val="18"/>
    </w:rPr>
  </w:style>
  <w:style w:type="character" w:customStyle="1" w:styleId="Char0">
    <w:name w:val="页脚 Char"/>
    <w:link w:val="ac"/>
    <w:uiPriority w:val="99"/>
    <w:qFormat/>
    <w:locked/>
    <w:rsid w:val="00B3658F"/>
    <w:rPr>
      <w:rFonts w:cs="Times New Roman"/>
      <w:sz w:val="18"/>
      <w:szCs w:val="18"/>
    </w:rPr>
  </w:style>
  <w:style w:type="paragraph" w:customStyle="1" w:styleId="a0">
    <w:name w:val="前言、引言标题"/>
    <w:next w:val="a7"/>
    <w:uiPriority w:val="99"/>
    <w:qFormat/>
    <w:rsid w:val="00B3658F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">
    <w:name w:val="段"/>
    <w:uiPriority w:val="99"/>
    <w:qFormat/>
    <w:rsid w:val="00B3658F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1">
    <w:name w:val="章标题"/>
    <w:next w:val="af"/>
    <w:uiPriority w:val="99"/>
    <w:qFormat/>
    <w:rsid w:val="00B3658F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2">
    <w:name w:val="一级条标题"/>
    <w:basedOn w:val="a1"/>
    <w:next w:val="af"/>
    <w:uiPriority w:val="99"/>
    <w:qFormat/>
    <w:rsid w:val="00B3658F"/>
    <w:pPr>
      <w:numPr>
        <w:ilvl w:val="2"/>
      </w:numPr>
      <w:spacing w:beforeLines="0" w:afterLines="0"/>
      <w:outlineLvl w:val="2"/>
    </w:pPr>
  </w:style>
  <w:style w:type="paragraph" w:customStyle="1" w:styleId="a3">
    <w:name w:val="二级条标题"/>
    <w:basedOn w:val="a2"/>
    <w:next w:val="af"/>
    <w:uiPriority w:val="99"/>
    <w:qFormat/>
    <w:rsid w:val="00B3658F"/>
    <w:pPr>
      <w:numPr>
        <w:ilvl w:val="3"/>
      </w:numPr>
      <w:outlineLvl w:val="3"/>
    </w:pPr>
  </w:style>
  <w:style w:type="paragraph" w:customStyle="1" w:styleId="af0">
    <w:name w:val="目次、标准名称标题"/>
    <w:basedOn w:val="a0"/>
    <w:next w:val="af"/>
    <w:uiPriority w:val="99"/>
    <w:qFormat/>
    <w:rsid w:val="00B3658F"/>
    <w:pPr>
      <w:numPr>
        <w:numId w:val="0"/>
      </w:numPr>
      <w:spacing w:line="460" w:lineRule="exact"/>
    </w:pPr>
  </w:style>
  <w:style w:type="paragraph" w:customStyle="1" w:styleId="a4">
    <w:name w:val="三级条标题"/>
    <w:basedOn w:val="a3"/>
    <w:next w:val="af"/>
    <w:uiPriority w:val="99"/>
    <w:qFormat/>
    <w:rsid w:val="00B3658F"/>
    <w:pPr>
      <w:numPr>
        <w:ilvl w:val="4"/>
      </w:numPr>
      <w:outlineLvl w:val="4"/>
    </w:pPr>
  </w:style>
  <w:style w:type="paragraph" w:customStyle="1" w:styleId="a5">
    <w:name w:val="四级条标题"/>
    <w:basedOn w:val="a4"/>
    <w:next w:val="af"/>
    <w:uiPriority w:val="99"/>
    <w:qFormat/>
    <w:rsid w:val="00B3658F"/>
    <w:pPr>
      <w:numPr>
        <w:ilvl w:val="5"/>
      </w:numPr>
      <w:outlineLvl w:val="5"/>
    </w:pPr>
  </w:style>
  <w:style w:type="paragraph" w:customStyle="1" w:styleId="a6">
    <w:name w:val="五级条标题"/>
    <w:basedOn w:val="a5"/>
    <w:next w:val="af"/>
    <w:uiPriority w:val="99"/>
    <w:qFormat/>
    <w:rsid w:val="00B3658F"/>
    <w:pPr>
      <w:numPr>
        <w:ilvl w:val="6"/>
      </w:numPr>
      <w:outlineLvl w:val="6"/>
    </w:pPr>
  </w:style>
  <w:style w:type="character" w:customStyle="1" w:styleId="ask-title">
    <w:name w:val="ask-title"/>
    <w:uiPriority w:val="99"/>
    <w:qFormat/>
    <w:rsid w:val="00B3658F"/>
    <w:rPr>
      <w:rFonts w:cs="Times New Roman"/>
    </w:rPr>
  </w:style>
  <w:style w:type="character" w:customStyle="1" w:styleId="Char">
    <w:name w:val="日期 Char"/>
    <w:link w:val="ab"/>
    <w:uiPriority w:val="99"/>
    <w:semiHidden/>
    <w:qFormat/>
    <w:locked/>
    <w:rsid w:val="00B3658F"/>
    <w:rPr>
      <w:rFonts w:ascii="Times New Roman" w:eastAsia="宋体" w:hAnsi="Times New Roman" w:cs="Times New Roman"/>
      <w:sz w:val="24"/>
      <w:szCs w:val="24"/>
    </w:rPr>
  </w:style>
  <w:style w:type="paragraph" w:customStyle="1" w:styleId="10">
    <w:name w:val="列出段落1"/>
    <w:basedOn w:val="a7"/>
    <w:qFormat/>
    <w:rsid w:val="00B3658F"/>
    <w:pPr>
      <w:ind w:firstLineChars="200" w:firstLine="420"/>
    </w:pPr>
    <w:rPr>
      <w:szCs w:val="21"/>
    </w:rPr>
  </w:style>
  <w:style w:type="paragraph" w:customStyle="1" w:styleId="a">
    <w:name w:val="附录标识"/>
    <w:basedOn w:val="a7"/>
    <w:next w:val="af"/>
    <w:rsid w:val="00B3658F"/>
    <w:pPr>
      <w:keepNext/>
      <w:widowControl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styleId="af1">
    <w:name w:val="Balloon Text"/>
    <w:basedOn w:val="a7"/>
    <w:link w:val="Char2"/>
    <w:uiPriority w:val="99"/>
    <w:semiHidden/>
    <w:unhideWhenUsed/>
    <w:rsid w:val="00AE2510"/>
    <w:rPr>
      <w:sz w:val="18"/>
      <w:szCs w:val="18"/>
    </w:rPr>
  </w:style>
  <w:style w:type="character" w:customStyle="1" w:styleId="Char2">
    <w:name w:val="批注框文本 Char"/>
    <w:link w:val="af1"/>
    <w:uiPriority w:val="99"/>
    <w:semiHidden/>
    <w:rsid w:val="00AE251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4%B8%89%E5%94%91%E9%85%A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566</Words>
  <Characters>3230</Characters>
  <Application>Microsoft Office Word</Application>
  <DocSecurity>0</DocSecurity>
  <Lines>26</Lines>
  <Paragraphs>7</Paragraphs>
  <ScaleCrop>false</ScaleCrop>
  <Company>China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zxw</dc:creator>
  <cp:lastModifiedBy>dell</cp:lastModifiedBy>
  <cp:revision>75</cp:revision>
  <cp:lastPrinted>2018-02-13T02:34:00Z</cp:lastPrinted>
  <dcterms:created xsi:type="dcterms:W3CDTF">2017-08-15T23:55:00Z</dcterms:created>
  <dcterms:modified xsi:type="dcterms:W3CDTF">2020-11-04T03:17:00Z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